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topLinePunct/>
        <w:autoSpaceDE w:val="0"/>
        <w:autoSpaceDN w:val="0"/>
        <w:spacing w:before="0" w:after="0" w:line="360" w:lineRule="auto"/>
        <w:jc w:val="center"/>
        <w:rPr>
          <w:rFonts w:hint="eastAsia" w:ascii="宋体" w:hAnsi="宋体" w:eastAsia="宋体" w:cs="宋体"/>
          <w:b/>
          <w:sz w:val="96"/>
          <w:szCs w:val="96"/>
          <w:lang w:eastAsia="zh-CN"/>
        </w:rPr>
      </w:pPr>
    </w:p>
    <w:p>
      <w:pPr>
        <w:widowControl w:val="0"/>
        <w:topLinePunct/>
        <w:autoSpaceDE w:val="0"/>
        <w:autoSpaceDN w:val="0"/>
        <w:spacing w:before="0" w:after="0" w:line="360" w:lineRule="auto"/>
        <w:jc w:val="center"/>
        <w:rPr>
          <w:rFonts w:hint="eastAsia" w:ascii="宋体" w:hAnsi="宋体" w:eastAsia="宋体" w:cs="宋体"/>
          <w:b/>
          <w:sz w:val="96"/>
          <w:szCs w:val="96"/>
          <w:lang w:eastAsia="zh-CN"/>
        </w:rPr>
      </w:pPr>
      <w:r>
        <w:rPr>
          <w:rFonts w:hint="eastAsia" w:ascii="宋体" w:hAnsi="宋体" w:eastAsia="宋体" w:cs="宋体"/>
          <w:b/>
          <w:sz w:val="96"/>
          <w:szCs w:val="96"/>
          <w:lang w:eastAsia="zh-CN"/>
        </w:rPr>
        <w:t>采 购 需 求</w:t>
      </w:r>
    </w:p>
    <w:p>
      <w:pPr>
        <w:widowControl w:val="0"/>
        <w:topLinePunct/>
        <w:autoSpaceDE w:val="0"/>
        <w:autoSpaceDN w:val="0"/>
        <w:spacing w:before="0" w:after="0" w:line="360" w:lineRule="auto"/>
        <w:jc w:val="center"/>
        <w:rPr>
          <w:rFonts w:hint="eastAsia" w:ascii="宋体" w:hAnsi="宋体" w:eastAsia="宋体" w:cs="宋体"/>
          <w:b/>
          <w:sz w:val="80"/>
          <w:szCs w:val="80"/>
          <w:lang w:eastAsia="zh-CN"/>
        </w:rPr>
      </w:pPr>
    </w:p>
    <w:p>
      <w:pPr>
        <w:widowControl w:val="0"/>
        <w:topLinePunct/>
        <w:autoSpaceDE w:val="0"/>
        <w:autoSpaceDN w:val="0"/>
        <w:spacing w:before="0" w:after="0" w:line="360" w:lineRule="auto"/>
        <w:jc w:val="center"/>
        <w:rPr>
          <w:rFonts w:hint="eastAsia" w:ascii="宋体" w:hAnsi="宋体" w:eastAsia="宋体" w:cs="宋体"/>
          <w:b/>
          <w:sz w:val="80"/>
          <w:szCs w:val="80"/>
          <w:lang w:eastAsia="zh-CN"/>
        </w:rPr>
      </w:pPr>
    </w:p>
    <w:p>
      <w:pPr>
        <w:widowControl w:val="0"/>
        <w:topLinePunct/>
        <w:autoSpaceDE w:val="0"/>
        <w:autoSpaceDN w:val="0"/>
        <w:spacing w:before="0" w:after="0" w:line="360" w:lineRule="auto"/>
        <w:jc w:val="center"/>
        <w:rPr>
          <w:rFonts w:hint="eastAsia" w:ascii="宋体" w:hAnsi="宋体" w:eastAsia="宋体" w:cs="宋体"/>
          <w:b/>
          <w:sz w:val="80"/>
          <w:szCs w:val="80"/>
          <w:lang w:eastAsia="zh-CN"/>
        </w:rPr>
      </w:pPr>
    </w:p>
    <w:p>
      <w:pPr>
        <w:widowControl w:val="0"/>
        <w:topLinePunct/>
        <w:autoSpaceDE w:val="0"/>
        <w:autoSpaceDN w:val="0"/>
        <w:spacing w:before="0" w:after="0" w:line="360" w:lineRule="auto"/>
        <w:jc w:val="center"/>
        <w:rPr>
          <w:rFonts w:hint="eastAsia" w:ascii="宋体" w:hAnsi="宋体" w:eastAsia="宋体" w:cs="宋体"/>
          <w:b/>
          <w:sz w:val="30"/>
          <w:szCs w:val="30"/>
          <w:lang w:eastAsia="zh-CN"/>
        </w:rPr>
      </w:pPr>
      <w:r>
        <w:rPr>
          <w:rFonts w:hint="eastAsia" w:ascii="宋体" w:hAnsi="宋体" w:eastAsia="宋体" w:cs="宋体"/>
          <w:b/>
          <w:sz w:val="30"/>
          <w:szCs w:val="30"/>
          <w:lang w:eastAsia="zh-CN"/>
        </w:rPr>
        <w:t>项目名称：</w:t>
      </w:r>
      <w:bookmarkStart w:id="0" w:name="项目名称_projectName"/>
      <w:r>
        <w:rPr>
          <w:rFonts w:hint="eastAsia" w:ascii="宋体" w:hAnsi="宋体" w:eastAsia="宋体" w:cs="宋体"/>
          <w:b/>
          <w:sz w:val="30"/>
          <w:szCs w:val="30"/>
          <w:lang w:eastAsia="zh-CN"/>
        </w:rPr>
        <w:t>国家税务总局平度市税务局机关食堂原材料采购项目</w:t>
      </w:r>
      <w:bookmarkEnd w:id="0"/>
    </w:p>
    <w:p>
      <w:pPr>
        <w:widowControl w:val="0"/>
        <w:spacing w:before="0" w:after="0" w:line="360" w:lineRule="auto"/>
        <w:jc w:val="both"/>
        <w:rPr>
          <w:rFonts w:hint="eastAsia" w:ascii="宋体" w:hAnsi="宋体" w:eastAsia="宋体" w:cs="宋体"/>
          <w:kern w:val="2"/>
          <w:sz w:val="32"/>
          <w:szCs w:val="32"/>
          <w:lang w:eastAsia="zh-CN"/>
        </w:rPr>
      </w:pPr>
    </w:p>
    <w:p>
      <w:pPr>
        <w:widowControl w:val="0"/>
        <w:spacing w:before="0" w:after="0" w:line="360" w:lineRule="auto"/>
        <w:jc w:val="both"/>
        <w:rPr>
          <w:rFonts w:ascii="宋体" w:hAnsi="宋体" w:eastAsia="宋体" w:cs="宋体"/>
          <w:kern w:val="2"/>
          <w:sz w:val="32"/>
          <w:szCs w:val="32"/>
          <w:lang w:eastAsia="zh-CN"/>
        </w:rPr>
      </w:pPr>
    </w:p>
    <w:p>
      <w:pPr>
        <w:widowControl w:val="0"/>
        <w:spacing w:before="0" w:after="0" w:line="360" w:lineRule="auto"/>
        <w:jc w:val="both"/>
        <w:rPr>
          <w:rFonts w:hint="eastAsia" w:ascii="宋体" w:hAnsi="宋体" w:eastAsia="宋体" w:cs="宋体"/>
          <w:kern w:val="2"/>
          <w:sz w:val="32"/>
          <w:szCs w:val="32"/>
          <w:lang w:eastAsia="zh-CN"/>
        </w:rPr>
      </w:pPr>
    </w:p>
    <w:p>
      <w:pPr>
        <w:widowControl w:val="0"/>
        <w:topLinePunct/>
        <w:autoSpaceDE w:val="0"/>
        <w:autoSpaceDN w:val="0"/>
        <w:spacing w:before="0" w:after="0" w:line="360" w:lineRule="auto"/>
        <w:jc w:val="both"/>
        <w:rPr>
          <w:rFonts w:hint="eastAsia" w:ascii="宋体" w:hAnsi="宋体" w:eastAsia="宋体" w:cs="宋体"/>
          <w:sz w:val="32"/>
          <w:szCs w:val="32"/>
          <w:lang w:eastAsia="zh-CN"/>
        </w:rPr>
      </w:pPr>
    </w:p>
    <w:p>
      <w:pPr>
        <w:spacing w:before="0" w:after="0" w:line="360" w:lineRule="auto"/>
        <w:jc w:val="center"/>
        <w:rPr>
          <w:rFonts w:eastAsia="宋体"/>
        </w:rPr>
      </w:pPr>
      <w:bookmarkStart w:id="1" w:name="生成日期_currentDateTime_ym"/>
      <w:r>
        <w:rPr>
          <w:rFonts w:hint="eastAsia" w:ascii="宋体" w:hAnsi="宋体" w:eastAsia="宋体" w:cs="宋体"/>
          <w:sz w:val="36"/>
          <w:szCs w:val="36"/>
          <w:lang w:eastAsia="zh-CN"/>
        </w:rPr>
        <w:t>2026年09月</w:t>
      </w:r>
      <w:bookmarkEnd w:id="1"/>
    </w:p>
    <w:p>
      <w:pPr>
        <w:spacing w:before="0" w:after="0" w:line="360" w:lineRule="auto"/>
        <w:jc w:val="center"/>
        <w:rPr>
          <w:rFonts w:ascii="SimSun" w:hAnsi="SimSun" w:eastAsia="SimSun" w:cs="SimSun"/>
          <w:sz w:val="32"/>
        </w:rPr>
      </w:pPr>
      <w:r>
        <w:br w:type="page"/>
      </w:r>
      <w:r>
        <w:rPr>
          <w:rFonts w:ascii="SimSun" w:hAnsi="SimSun" w:eastAsia="SimSun" w:cs="SimSun"/>
          <w:sz w:val="32"/>
        </w:rPr>
        <w:t>目 录</w:t>
      </w:r>
    </w:p>
    <w:p>
      <w:pPr>
        <w:pStyle w:val="7"/>
        <w:tabs>
          <w:tab w:val="right" w:leader="dot" w:pos="9016"/>
        </w:tabs>
        <w:spacing w:before="0" w:after="0" w:line="360" w:lineRule="auto"/>
        <w:rPr>
          <w:rFonts w:asciiTheme="minorHAnsi" w:hAnsiTheme="minorHAnsi"/>
          <w:sz w:val="22"/>
        </w:rPr>
      </w:pPr>
      <w:r>
        <w:rPr>
          <w:rFonts w:ascii="SimSun" w:hAnsi="SimSun" w:eastAsia="SimSun" w:cs="SimSun"/>
          <w:sz w:val="32"/>
        </w:rPr>
        <w:fldChar w:fldCharType="begin"/>
      </w:r>
      <w:r>
        <w:rPr>
          <w:rFonts w:ascii="SimSun" w:hAnsi="SimSun" w:eastAsia="SimSun" w:cs="SimSun"/>
          <w:sz w:val="32"/>
        </w:rPr>
        <w:instrText xml:space="preserve">TOC \o "1-3" \h \z \u</w:instrText>
      </w:r>
      <w:r>
        <w:rPr>
          <w:rFonts w:ascii="SimSun" w:hAnsi="SimSun" w:eastAsia="SimSun" w:cs="SimSun"/>
          <w:sz w:val="32"/>
        </w:rPr>
        <w:fldChar w:fldCharType="separate"/>
      </w:r>
      <w:r>
        <w:fldChar w:fldCharType="begin"/>
      </w:r>
      <w:r>
        <w:instrText xml:space="preserve"> HYPERLINK \l "_Toc256000000" </w:instrText>
      </w:r>
      <w:r>
        <w:fldChar w:fldCharType="separate"/>
      </w:r>
      <w:r>
        <w:rPr>
          <w:rStyle w:val="11"/>
          <w:rFonts w:ascii="仿宋_GB2312" w:hAnsi="仿宋_GB2312" w:eastAsia="仿宋_GB2312" w:cs="仿宋_GB2312"/>
          <w:kern w:val="36"/>
        </w:rPr>
        <w:t>1项目概述</w:t>
      </w:r>
      <w:r>
        <w:tab/>
      </w:r>
      <w:r>
        <w:fldChar w:fldCharType="begin"/>
      </w:r>
      <w:r>
        <w:instrText xml:space="preserve"> PAGEREF _Toc256000000 \h </w:instrText>
      </w:r>
      <w:r>
        <w:fldChar w:fldCharType="separate"/>
      </w:r>
      <w:r>
        <w:t>3</w:t>
      </w:r>
      <w:r>
        <w:fldChar w:fldCharType="end"/>
      </w:r>
      <w:r>
        <w:fldChar w:fldCharType="end"/>
      </w:r>
    </w:p>
    <w:p>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"_Toc256000001" </w:instrText>
      </w:r>
      <w:r>
        <w:fldChar w:fldCharType="separate"/>
      </w:r>
      <w:r>
        <w:rPr>
          <w:rStyle w:val="11"/>
          <w:rFonts w:ascii="仿宋_GB2312" w:hAnsi="仿宋_GB2312" w:eastAsia="仿宋_GB2312" w:cs="仿宋_GB2312"/>
        </w:rPr>
        <w:t>1.1项目背景</w:t>
      </w:r>
      <w:r>
        <w:tab/>
      </w:r>
      <w:r>
        <w:fldChar w:fldCharType="begin"/>
      </w:r>
      <w:r>
        <w:instrText xml:space="preserve"> PAGEREF _Toc256000001 \h </w:instrText>
      </w:r>
      <w:r>
        <w:fldChar w:fldCharType="separate"/>
      </w:r>
      <w:r>
        <w:t>3</w:t>
      </w:r>
      <w:r>
        <w:fldChar w:fldCharType="end"/>
      </w:r>
      <w:r>
        <w:fldChar w:fldCharType="end"/>
      </w:r>
    </w:p>
    <w:p>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"_Toc256000002" </w:instrText>
      </w:r>
      <w:r>
        <w:fldChar w:fldCharType="separate"/>
      </w:r>
      <w:r>
        <w:rPr>
          <w:rStyle w:val="11"/>
          <w:rFonts w:ascii="仿宋_GB2312" w:hAnsi="仿宋_GB2312" w:eastAsia="仿宋_GB2312" w:cs="仿宋_GB2312"/>
        </w:rPr>
        <w:t>1.1.1项目目的、意义及背景</w:t>
      </w:r>
      <w:r>
        <w:tab/>
      </w:r>
      <w:r>
        <w:fldChar w:fldCharType="begin"/>
      </w:r>
      <w:r>
        <w:instrText xml:space="preserve"> PAGEREF _Toc256000002 \h </w:instrText>
      </w:r>
      <w:r>
        <w:fldChar w:fldCharType="separate"/>
      </w:r>
      <w:r>
        <w:t>3</w:t>
      </w:r>
      <w:r>
        <w:fldChar w:fldCharType="end"/>
      </w:r>
      <w:r>
        <w:fldChar w:fldCharType="end"/>
      </w:r>
    </w:p>
    <w:p>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"_Toc256000003" </w:instrText>
      </w:r>
      <w:r>
        <w:fldChar w:fldCharType="separate"/>
      </w:r>
      <w:r>
        <w:rPr>
          <w:rStyle w:val="11"/>
          <w:rFonts w:ascii="仿宋_GB2312" w:hAnsi="仿宋_GB2312" w:eastAsia="仿宋_GB2312" w:cs="仿宋_GB2312"/>
        </w:rPr>
        <w:t>1.2项目内容</w:t>
      </w:r>
      <w:r>
        <w:tab/>
      </w:r>
      <w:r>
        <w:fldChar w:fldCharType="begin"/>
      </w:r>
      <w:r>
        <w:instrText xml:space="preserve"> PAGEREF _Toc256000003 \h </w:instrText>
      </w:r>
      <w:r>
        <w:fldChar w:fldCharType="separate"/>
      </w:r>
      <w:r>
        <w:t>3</w:t>
      </w:r>
      <w:r>
        <w:fldChar w:fldCharType="end"/>
      </w:r>
      <w:r>
        <w:fldChar w:fldCharType="end"/>
      </w:r>
    </w:p>
    <w:p>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"_Toc256000004" </w:instrText>
      </w:r>
      <w:r>
        <w:fldChar w:fldCharType="separate"/>
      </w:r>
      <w:r>
        <w:rPr>
          <w:rStyle w:val="11"/>
          <w:rFonts w:ascii="仿宋_GB2312" w:hAnsi="仿宋_GB2312" w:eastAsia="仿宋_GB2312" w:cs="仿宋_GB2312"/>
        </w:rPr>
        <w:t>1.2.1项目建设思路</w:t>
      </w:r>
      <w:r>
        <w:tab/>
      </w:r>
      <w:r>
        <w:fldChar w:fldCharType="begin"/>
      </w:r>
      <w:r>
        <w:instrText xml:space="preserve"> PAGEREF _Toc256000004 \h </w:instrText>
      </w:r>
      <w:r>
        <w:fldChar w:fldCharType="separate"/>
      </w:r>
      <w:r>
        <w:t>3</w:t>
      </w:r>
      <w:r>
        <w:fldChar w:fldCharType="end"/>
      </w:r>
      <w:r>
        <w:fldChar w:fldCharType="end"/>
      </w:r>
    </w:p>
    <w:p>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"_Toc256000005" </w:instrText>
      </w:r>
      <w:r>
        <w:fldChar w:fldCharType="separate"/>
      </w:r>
      <w:r>
        <w:rPr>
          <w:rStyle w:val="11"/>
          <w:rFonts w:ascii="仿宋_GB2312" w:hAnsi="仿宋_GB2312" w:eastAsia="仿宋_GB2312" w:cs="仿宋_GB2312"/>
        </w:rPr>
        <w:t>1.2.2采购内容</w:t>
      </w:r>
      <w:r>
        <w:tab/>
      </w:r>
      <w:r>
        <w:fldChar w:fldCharType="begin"/>
      </w:r>
      <w:r>
        <w:instrText xml:space="preserve"> PAGEREF _Toc256000005 \h </w:instrText>
      </w:r>
      <w:r>
        <w:fldChar w:fldCharType="separate"/>
      </w:r>
      <w:r>
        <w:t>3</w:t>
      </w:r>
      <w:r>
        <w:fldChar w:fldCharType="end"/>
      </w:r>
      <w:r>
        <w:fldChar w:fldCharType="end"/>
      </w:r>
    </w:p>
    <w:p>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"_Toc256000006" </w:instrText>
      </w:r>
      <w:r>
        <w:fldChar w:fldCharType="separate"/>
      </w:r>
      <w:r>
        <w:rPr>
          <w:rStyle w:val="11"/>
          <w:rFonts w:ascii="仿宋_GB2312" w:hAnsi="仿宋_GB2312" w:eastAsia="仿宋_GB2312" w:cs="仿宋_GB2312"/>
        </w:rPr>
        <w:t>1.2.3项目实施要求</w:t>
      </w:r>
      <w:r>
        <w:tab/>
      </w:r>
      <w:r>
        <w:fldChar w:fldCharType="begin"/>
      </w:r>
      <w:r>
        <w:instrText xml:space="preserve"> PAGEREF _Toc256000006 \h </w:instrText>
      </w:r>
      <w:r>
        <w:fldChar w:fldCharType="separate"/>
      </w:r>
      <w:r>
        <w:t>3</w:t>
      </w:r>
      <w:r>
        <w:fldChar w:fldCharType="end"/>
      </w:r>
      <w:r>
        <w:fldChar w:fldCharType="end"/>
      </w:r>
    </w:p>
    <w:p>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"_Toc256000007" </w:instrText>
      </w:r>
      <w:r>
        <w:fldChar w:fldCharType="separate"/>
      </w:r>
      <w:r>
        <w:rPr>
          <w:rStyle w:val="11"/>
          <w:rFonts w:ascii="仿宋_GB2312" w:hAnsi="仿宋_GB2312" w:eastAsia="仿宋_GB2312" w:cs="仿宋_GB2312"/>
        </w:rPr>
        <w:t>1.3其他要求</w:t>
      </w:r>
      <w:r>
        <w:tab/>
      </w:r>
      <w:r>
        <w:fldChar w:fldCharType="begin"/>
      </w:r>
      <w:r>
        <w:instrText xml:space="preserve"> PAGEREF _Toc256000007 \h </w:instrText>
      </w:r>
      <w:r>
        <w:fldChar w:fldCharType="separate"/>
      </w:r>
      <w:r>
        <w:t>7</w:t>
      </w:r>
      <w:r>
        <w:fldChar w:fldCharType="end"/>
      </w:r>
      <w:r>
        <w:fldChar w:fldCharType="end"/>
      </w:r>
    </w:p>
    <w:p>
      <w:pPr>
        <w:pStyle w:val="7"/>
        <w:tabs>
          <w:tab w:val="right" w:leader="dot" w:pos="9016"/>
        </w:tabs>
        <w:spacing w:before="0" w:after="0" w:line="360" w:lineRule="auto"/>
        <w:rPr>
          <w:rFonts w:asciiTheme="minorHAnsi" w:hAnsiTheme="minorHAnsi"/>
          <w:sz w:val="22"/>
        </w:rPr>
      </w:pPr>
      <w:r>
        <w:fldChar w:fldCharType="begin"/>
      </w:r>
      <w:r>
        <w:instrText xml:space="preserve"> HYPERLINK \l "_Toc256000008" </w:instrText>
      </w:r>
      <w:r>
        <w:fldChar w:fldCharType="separate"/>
      </w:r>
      <w:r>
        <w:rPr>
          <w:rStyle w:val="11"/>
          <w:rFonts w:ascii="仿宋_GB2312" w:hAnsi="仿宋_GB2312" w:eastAsia="仿宋_GB2312" w:cs="仿宋_GB2312"/>
          <w:kern w:val="36"/>
        </w:rPr>
        <w:t>2投标/响应要求</w:t>
      </w:r>
      <w:r>
        <w:tab/>
      </w:r>
      <w:r>
        <w:fldChar w:fldCharType="begin"/>
      </w:r>
      <w:r>
        <w:instrText xml:space="preserve"> PAGEREF _Toc256000008 \h </w:instrText>
      </w:r>
      <w:r>
        <w:fldChar w:fldCharType="separate"/>
      </w:r>
      <w:r>
        <w:t>7</w:t>
      </w:r>
      <w:r>
        <w:fldChar w:fldCharType="end"/>
      </w:r>
      <w:r>
        <w:fldChar w:fldCharType="end"/>
      </w:r>
    </w:p>
    <w:p>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"_Toc256000009" </w:instrText>
      </w:r>
      <w:r>
        <w:fldChar w:fldCharType="separate"/>
      </w:r>
      <w:r>
        <w:rPr>
          <w:rStyle w:val="11"/>
          <w:rFonts w:ascii="仿宋_GB2312" w:hAnsi="仿宋_GB2312" w:eastAsia="仿宋_GB2312" w:cs="仿宋_GB2312"/>
        </w:rPr>
        <w:t>2.1对供应商的要求</w:t>
      </w:r>
      <w:r>
        <w:tab/>
      </w:r>
      <w:r>
        <w:fldChar w:fldCharType="begin"/>
      </w:r>
      <w:r>
        <w:instrText xml:space="preserve"> PAGEREF _Toc256000009 \h </w:instrText>
      </w:r>
      <w:r>
        <w:fldChar w:fldCharType="separate"/>
      </w:r>
      <w:r>
        <w:t>7</w:t>
      </w:r>
      <w:r>
        <w:fldChar w:fldCharType="end"/>
      </w:r>
      <w:r>
        <w:fldChar w:fldCharType="end"/>
      </w:r>
    </w:p>
    <w:p>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"_Toc256000010" </w:instrText>
      </w:r>
      <w:r>
        <w:fldChar w:fldCharType="separate"/>
      </w:r>
      <w:r>
        <w:rPr>
          <w:rStyle w:val="11"/>
          <w:rFonts w:ascii="仿宋_GB2312" w:hAnsi="仿宋_GB2312" w:eastAsia="仿宋_GB2312" w:cs="仿宋_GB2312"/>
        </w:rPr>
        <w:t>2.1.1必备资质</w:t>
      </w:r>
      <w:r>
        <w:tab/>
      </w:r>
      <w:r>
        <w:fldChar w:fldCharType="begin"/>
      </w:r>
      <w:r>
        <w:instrText xml:space="preserve"> PAGEREF _Toc256000010 \h </w:instrText>
      </w:r>
      <w:r>
        <w:fldChar w:fldCharType="separate"/>
      </w:r>
      <w:r>
        <w:t>7</w:t>
      </w:r>
      <w:r>
        <w:fldChar w:fldCharType="end"/>
      </w:r>
      <w:r>
        <w:fldChar w:fldCharType="end"/>
      </w:r>
    </w:p>
    <w:p>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"_Toc256000011" </w:instrText>
      </w:r>
      <w:r>
        <w:fldChar w:fldCharType="separate"/>
      </w:r>
      <w:r>
        <w:rPr>
          <w:rStyle w:val="11"/>
          <w:rFonts w:ascii="仿宋_GB2312" w:hAnsi="仿宋_GB2312" w:eastAsia="仿宋_GB2312" w:cs="仿宋_GB2312"/>
        </w:rPr>
        <w:t>2.1.2优选资质/优选指标</w:t>
      </w:r>
      <w:r>
        <w:tab/>
      </w:r>
      <w:r>
        <w:fldChar w:fldCharType="begin"/>
      </w:r>
      <w:r>
        <w:instrText xml:space="preserve"> PAGEREF _Toc256000011 \h </w:instrText>
      </w:r>
      <w:r>
        <w:fldChar w:fldCharType="separate"/>
      </w:r>
      <w:r>
        <w:t>8</w:t>
      </w:r>
      <w:r>
        <w:fldChar w:fldCharType="end"/>
      </w:r>
      <w:r>
        <w:fldChar w:fldCharType="end"/>
      </w:r>
    </w:p>
    <w:p>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"_Toc256000012" </w:instrText>
      </w:r>
      <w:r>
        <w:fldChar w:fldCharType="separate"/>
      </w:r>
      <w:r>
        <w:rPr>
          <w:rStyle w:val="11"/>
          <w:rFonts w:ascii="仿宋_GB2312" w:hAnsi="仿宋_GB2312" w:eastAsia="仿宋_GB2312" w:cs="仿宋_GB2312"/>
        </w:rPr>
        <w:t>2.1.3是否允许联合体</w:t>
      </w:r>
      <w:r>
        <w:tab/>
      </w:r>
      <w:r>
        <w:fldChar w:fldCharType="begin"/>
      </w:r>
      <w:r>
        <w:instrText xml:space="preserve"> PAGEREF _Toc256000012 \h </w:instrText>
      </w:r>
      <w:r>
        <w:fldChar w:fldCharType="separate"/>
      </w:r>
      <w:r>
        <w:t>8</w:t>
      </w:r>
      <w:r>
        <w:fldChar w:fldCharType="end"/>
      </w:r>
      <w:r>
        <w:fldChar w:fldCharType="end"/>
      </w:r>
    </w:p>
    <w:p>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"_Toc256000013" </w:instrText>
      </w:r>
      <w:r>
        <w:fldChar w:fldCharType="separate"/>
      </w:r>
      <w:r>
        <w:rPr>
          <w:rStyle w:val="11"/>
          <w:rFonts w:ascii="仿宋_GB2312" w:hAnsi="仿宋_GB2312" w:eastAsia="仿宋_GB2312" w:cs="仿宋_GB2312"/>
        </w:rPr>
        <w:t>2.1.4是否专门面向中小企业</w:t>
      </w:r>
      <w:r>
        <w:tab/>
      </w:r>
      <w:r>
        <w:fldChar w:fldCharType="begin"/>
      </w:r>
      <w:r>
        <w:instrText xml:space="preserve"> PAGEREF _Toc256000013 \h </w:instrText>
      </w:r>
      <w:r>
        <w:fldChar w:fldCharType="separate"/>
      </w:r>
      <w:r>
        <w:t>8</w:t>
      </w:r>
      <w:r>
        <w:fldChar w:fldCharType="end"/>
      </w:r>
      <w:r>
        <w:fldChar w:fldCharType="end"/>
      </w:r>
    </w:p>
    <w:p>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"_Toc256000014" </w:instrText>
      </w:r>
      <w:r>
        <w:fldChar w:fldCharType="separate"/>
      </w:r>
      <w:r>
        <w:rPr>
          <w:rStyle w:val="11"/>
          <w:rFonts w:ascii="仿宋_GB2312" w:hAnsi="仿宋_GB2312" w:eastAsia="仿宋_GB2312" w:cs="仿宋_GB2312"/>
        </w:rPr>
        <w:t>2.1.5其他要求</w:t>
      </w:r>
      <w:r>
        <w:tab/>
      </w:r>
      <w:r>
        <w:fldChar w:fldCharType="begin"/>
      </w:r>
      <w:r>
        <w:instrText xml:space="preserve"> PAGEREF _Toc256000014 \h </w:instrText>
      </w:r>
      <w:r>
        <w:fldChar w:fldCharType="separate"/>
      </w:r>
      <w:r>
        <w:t>8</w:t>
      </w:r>
      <w:r>
        <w:fldChar w:fldCharType="end"/>
      </w:r>
      <w:r>
        <w:fldChar w:fldCharType="end"/>
      </w:r>
    </w:p>
    <w:p>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"_Toc256000015" </w:instrText>
      </w:r>
      <w:r>
        <w:fldChar w:fldCharType="separate"/>
      </w:r>
      <w:r>
        <w:rPr>
          <w:rStyle w:val="11"/>
          <w:rFonts w:ascii="仿宋_GB2312" w:hAnsi="仿宋_GB2312" w:eastAsia="仿宋_GB2312" w:cs="仿宋_GB2312"/>
        </w:rPr>
        <w:t>2.2技术部分投标/响应内容</w:t>
      </w:r>
      <w:r>
        <w:tab/>
      </w:r>
      <w:r>
        <w:fldChar w:fldCharType="begin"/>
      </w:r>
      <w:r>
        <w:instrText xml:space="preserve"> PAGEREF _Toc256000015 \h </w:instrText>
      </w:r>
      <w:r>
        <w:fldChar w:fldCharType="separate"/>
      </w:r>
      <w:r>
        <w:t>8</w:t>
      </w:r>
      <w:r>
        <w:fldChar w:fldCharType="end"/>
      </w:r>
      <w:r>
        <w:fldChar w:fldCharType="end"/>
      </w:r>
    </w:p>
    <w:p>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"_Toc256000016" </w:instrText>
      </w:r>
      <w:r>
        <w:fldChar w:fldCharType="separate"/>
      </w:r>
      <w:r>
        <w:rPr>
          <w:rStyle w:val="11"/>
          <w:rFonts w:ascii="仿宋_GB2312" w:hAnsi="仿宋_GB2312" w:eastAsia="仿宋_GB2312" w:cs="仿宋_GB2312"/>
        </w:rPr>
        <w:t>2.2.1技术投标/响应总要求</w:t>
      </w:r>
      <w:r>
        <w:tab/>
      </w:r>
      <w:r>
        <w:fldChar w:fldCharType="begin"/>
      </w:r>
      <w:r>
        <w:instrText xml:space="preserve"> PAGEREF _Toc256000016 \h </w:instrText>
      </w:r>
      <w:r>
        <w:fldChar w:fldCharType="separate"/>
      </w:r>
      <w:r>
        <w:t>8</w:t>
      </w:r>
      <w:r>
        <w:fldChar w:fldCharType="end"/>
      </w:r>
      <w:r>
        <w:fldChar w:fldCharType="end"/>
      </w:r>
    </w:p>
    <w:p>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"_Toc256000017" </w:instrText>
      </w:r>
      <w:r>
        <w:fldChar w:fldCharType="separate"/>
      </w:r>
      <w:r>
        <w:rPr>
          <w:rStyle w:val="11"/>
          <w:rFonts w:ascii="仿宋_GB2312" w:hAnsi="仿宋_GB2312" w:eastAsia="仿宋_GB2312" w:cs="仿宋_GB2312"/>
        </w:rPr>
        <w:t>2.2.2投标/响应方案要求</w:t>
      </w:r>
      <w:r>
        <w:tab/>
      </w:r>
      <w:r>
        <w:fldChar w:fldCharType="begin"/>
      </w:r>
      <w:r>
        <w:instrText xml:space="preserve"> PAGEREF _Toc256000017 \h </w:instrText>
      </w:r>
      <w:r>
        <w:fldChar w:fldCharType="separate"/>
      </w:r>
      <w:r>
        <w:t>8</w:t>
      </w:r>
      <w:r>
        <w:fldChar w:fldCharType="end"/>
      </w:r>
      <w:r>
        <w:fldChar w:fldCharType="end"/>
      </w:r>
    </w:p>
    <w:p>
      <w:pPr>
        <w:pStyle w:val="7"/>
        <w:tabs>
          <w:tab w:val="right" w:leader="dot" w:pos="9016"/>
        </w:tabs>
        <w:spacing w:before="0" w:after="0" w:line="360" w:lineRule="auto"/>
        <w:rPr>
          <w:rFonts w:asciiTheme="minorHAnsi" w:hAnsiTheme="minorHAnsi"/>
          <w:sz w:val="22"/>
        </w:rPr>
      </w:pPr>
      <w:r>
        <w:fldChar w:fldCharType="begin"/>
      </w:r>
      <w:r>
        <w:instrText xml:space="preserve"> HYPERLINK \l "_Toc256000018" </w:instrText>
      </w:r>
      <w:r>
        <w:fldChar w:fldCharType="separate"/>
      </w:r>
      <w:r>
        <w:rPr>
          <w:rStyle w:val="11"/>
          <w:rFonts w:ascii="仿宋_GB2312" w:hAnsi="仿宋_GB2312" w:eastAsia="仿宋_GB2312" w:cs="仿宋_GB2312"/>
          <w:kern w:val="36"/>
        </w:rPr>
        <w:t>3项目需求</w:t>
      </w:r>
      <w:r>
        <w:tab/>
      </w:r>
      <w:r>
        <w:fldChar w:fldCharType="begin"/>
      </w:r>
      <w:r>
        <w:instrText xml:space="preserve"> PAGEREF _Toc256000018 \h </w:instrText>
      </w:r>
      <w:r>
        <w:fldChar w:fldCharType="separate"/>
      </w:r>
      <w:r>
        <w:t>12</w:t>
      </w:r>
      <w:r>
        <w:fldChar w:fldCharType="end"/>
      </w:r>
      <w:r>
        <w:fldChar w:fldCharType="end"/>
      </w:r>
    </w:p>
    <w:p>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"_Toc256000019" </w:instrText>
      </w:r>
      <w:r>
        <w:fldChar w:fldCharType="separate"/>
      </w:r>
      <w:r>
        <w:rPr>
          <w:rStyle w:val="11"/>
          <w:rFonts w:ascii="仿宋_GB2312" w:hAnsi="仿宋_GB2312" w:eastAsia="仿宋_GB2312" w:cs="仿宋_GB2312"/>
        </w:rPr>
        <w:t>3.1总体要求</w:t>
      </w:r>
      <w:r>
        <w:tab/>
      </w:r>
      <w:r>
        <w:fldChar w:fldCharType="begin"/>
      </w:r>
      <w:r>
        <w:instrText xml:space="preserve"> PAGEREF _Toc256000019 \h </w:instrText>
      </w:r>
      <w:r>
        <w:fldChar w:fldCharType="separate"/>
      </w:r>
      <w:r>
        <w:t>12</w:t>
      </w:r>
      <w:r>
        <w:fldChar w:fldCharType="end"/>
      </w:r>
      <w:r>
        <w:fldChar w:fldCharType="end"/>
      </w:r>
    </w:p>
    <w:p>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"_Toc256000020" </w:instrText>
      </w:r>
      <w:r>
        <w:fldChar w:fldCharType="separate"/>
      </w:r>
      <w:r>
        <w:rPr>
          <w:rStyle w:val="11"/>
          <w:rFonts w:ascii="仿宋_GB2312" w:hAnsi="仿宋_GB2312" w:eastAsia="仿宋_GB2312" w:cs="仿宋_GB2312"/>
        </w:rPr>
        <w:t>3.2采购产品一览表</w:t>
      </w:r>
      <w:r>
        <w:tab/>
      </w:r>
      <w:r>
        <w:fldChar w:fldCharType="begin"/>
      </w:r>
      <w:r>
        <w:instrText xml:space="preserve"> PAGEREF _Toc256000020 \h </w:instrText>
      </w:r>
      <w:r>
        <w:fldChar w:fldCharType="separate"/>
      </w:r>
      <w:r>
        <w:t>15</w:t>
      </w:r>
      <w:r>
        <w:fldChar w:fldCharType="end"/>
      </w:r>
      <w:r>
        <w:fldChar w:fldCharType="end"/>
      </w:r>
    </w:p>
    <w:p>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"_Toc256000021" </w:instrText>
      </w:r>
      <w:r>
        <w:fldChar w:fldCharType="separate"/>
      </w:r>
      <w:r>
        <w:rPr>
          <w:rStyle w:val="11"/>
          <w:rFonts w:ascii="仿宋_GB2312" w:hAnsi="仿宋_GB2312" w:eastAsia="仿宋_GB2312" w:cs="仿宋_GB2312"/>
        </w:rPr>
        <w:t>3.3采购产品详细清单及技术指标</w:t>
      </w:r>
      <w:r>
        <w:tab/>
      </w:r>
      <w:r>
        <w:fldChar w:fldCharType="begin"/>
      </w:r>
      <w:r>
        <w:instrText xml:space="preserve"> PAGEREF _Toc256000021 \h </w:instrText>
      </w:r>
      <w:r>
        <w:fldChar w:fldCharType="separate"/>
      </w:r>
      <w:r>
        <w:t>15</w:t>
      </w:r>
      <w:r>
        <w:fldChar w:fldCharType="end"/>
      </w:r>
      <w:r>
        <w:fldChar w:fldCharType="end"/>
      </w:r>
    </w:p>
    <w:p>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"_Toc256000022" </w:instrText>
      </w:r>
      <w:r>
        <w:fldChar w:fldCharType="separate"/>
      </w:r>
      <w:r>
        <w:rPr>
          <w:rStyle w:val="11"/>
          <w:rFonts w:ascii="仿宋_GB2312" w:hAnsi="仿宋_GB2312" w:eastAsia="仿宋_GB2312" w:cs="仿宋_GB2312"/>
        </w:rPr>
        <w:t>3.4服务要求</w:t>
      </w:r>
      <w:r>
        <w:tab/>
      </w:r>
      <w:r>
        <w:fldChar w:fldCharType="begin"/>
      </w:r>
      <w:r>
        <w:instrText xml:space="preserve"> PAGEREF _Toc256000022 \h </w:instrText>
      </w:r>
      <w:r>
        <w:fldChar w:fldCharType="separate"/>
      </w:r>
      <w:r>
        <w:t>15</w:t>
      </w:r>
      <w:r>
        <w:fldChar w:fldCharType="end"/>
      </w:r>
      <w:r>
        <w:fldChar w:fldCharType="end"/>
      </w:r>
    </w:p>
    <w:p>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"_Toc256000023" </w:instrText>
      </w:r>
      <w:r>
        <w:fldChar w:fldCharType="separate"/>
      </w:r>
      <w:r>
        <w:rPr>
          <w:rStyle w:val="11"/>
          <w:rFonts w:ascii="仿宋_GB2312" w:hAnsi="仿宋_GB2312" w:eastAsia="仿宋_GB2312" w:cs="仿宋_GB2312"/>
        </w:rPr>
        <w:t>3.5其他要求</w:t>
      </w:r>
      <w:r>
        <w:tab/>
      </w:r>
      <w:r>
        <w:fldChar w:fldCharType="begin"/>
      </w:r>
      <w:r>
        <w:instrText xml:space="preserve"> PAGEREF _Toc256000023 \h </w:instrText>
      </w:r>
      <w:r>
        <w:fldChar w:fldCharType="separate"/>
      </w:r>
      <w:r>
        <w:t>15</w:t>
      </w:r>
      <w:r>
        <w:fldChar w:fldCharType="end"/>
      </w:r>
      <w:r>
        <w:fldChar w:fldCharType="end"/>
      </w:r>
    </w:p>
    <w:p>
      <w:pPr>
        <w:pStyle w:val="7"/>
        <w:tabs>
          <w:tab w:val="right" w:leader="dot" w:pos="9016"/>
        </w:tabs>
        <w:spacing w:before="0" w:after="0" w:line="360" w:lineRule="auto"/>
        <w:rPr>
          <w:rFonts w:asciiTheme="minorHAnsi" w:hAnsiTheme="minorHAnsi"/>
          <w:sz w:val="22"/>
        </w:rPr>
      </w:pPr>
      <w:r>
        <w:fldChar w:fldCharType="begin"/>
      </w:r>
      <w:r>
        <w:instrText xml:space="preserve"> HYPERLINK \l "_Toc256000024" </w:instrText>
      </w:r>
      <w:r>
        <w:fldChar w:fldCharType="separate"/>
      </w:r>
      <w:r>
        <w:rPr>
          <w:rStyle w:val="11"/>
          <w:rFonts w:ascii="仿宋_GB2312" w:hAnsi="仿宋_GB2312" w:eastAsia="仿宋_GB2312" w:cs="仿宋_GB2312"/>
          <w:kern w:val="36"/>
        </w:rPr>
        <w:t>4人员要求</w:t>
      </w:r>
      <w:r>
        <w:tab/>
      </w:r>
      <w:r>
        <w:fldChar w:fldCharType="begin"/>
      </w:r>
      <w:r>
        <w:instrText xml:space="preserve"> PAGEREF _Toc256000024 \h </w:instrText>
      </w:r>
      <w:r>
        <w:fldChar w:fldCharType="separate"/>
      </w:r>
      <w:r>
        <w:t>16</w:t>
      </w:r>
      <w:r>
        <w:fldChar w:fldCharType="end"/>
      </w:r>
      <w:r>
        <w:fldChar w:fldCharType="end"/>
      </w:r>
    </w:p>
    <w:p>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"_Toc256000025" </w:instrText>
      </w:r>
      <w:r>
        <w:fldChar w:fldCharType="separate"/>
      </w:r>
      <w:r>
        <w:rPr>
          <w:rStyle w:val="11"/>
          <w:rFonts w:ascii="仿宋_GB2312" w:hAnsi="仿宋_GB2312" w:eastAsia="仿宋_GB2312" w:cs="仿宋_GB2312"/>
        </w:rPr>
        <w:t>4.1团队要求</w:t>
      </w:r>
      <w:r>
        <w:tab/>
      </w:r>
      <w:r>
        <w:fldChar w:fldCharType="begin"/>
      </w:r>
      <w:r>
        <w:instrText xml:space="preserve"> PAGEREF _Toc256000025 \h </w:instrText>
      </w:r>
      <w:r>
        <w:fldChar w:fldCharType="separate"/>
      </w:r>
      <w:r>
        <w:t>16</w:t>
      </w:r>
      <w:r>
        <w:fldChar w:fldCharType="end"/>
      </w:r>
      <w:r>
        <w:fldChar w:fldCharType="end"/>
      </w:r>
    </w:p>
    <w:p>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"_Toc256000026" </w:instrText>
      </w:r>
      <w:r>
        <w:fldChar w:fldCharType="separate"/>
      </w:r>
      <w:r>
        <w:rPr>
          <w:rStyle w:val="11"/>
          <w:rFonts w:ascii="仿宋_GB2312" w:hAnsi="仿宋_GB2312" w:eastAsia="仿宋_GB2312" w:cs="仿宋_GB2312"/>
        </w:rPr>
        <w:t>4.1.1基本要求</w:t>
      </w:r>
      <w:r>
        <w:tab/>
      </w:r>
      <w:r>
        <w:fldChar w:fldCharType="begin"/>
      </w:r>
      <w:r>
        <w:instrText xml:space="preserve"> PAGEREF _Toc256000026 \h </w:instrText>
      </w:r>
      <w:r>
        <w:fldChar w:fldCharType="separate"/>
      </w:r>
      <w:r>
        <w:t>16</w:t>
      </w:r>
      <w:r>
        <w:fldChar w:fldCharType="end"/>
      </w:r>
      <w:r>
        <w:fldChar w:fldCharType="end"/>
      </w:r>
    </w:p>
    <w:p>
      <w:pPr>
        <w:pStyle w:val="7"/>
        <w:tabs>
          <w:tab w:val="right" w:leader="dot" w:pos="9016"/>
        </w:tabs>
        <w:spacing w:before="0" w:after="0" w:line="360" w:lineRule="auto"/>
        <w:rPr>
          <w:rFonts w:asciiTheme="minorHAnsi" w:hAnsiTheme="minorHAnsi"/>
          <w:sz w:val="22"/>
        </w:rPr>
      </w:pPr>
      <w:r>
        <w:fldChar w:fldCharType="begin"/>
      </w:r>
      <w:r>
        <w:instrText xml:space="preserve"> HYPERLINK \l "_Toc256000027" </w:instrText>
      </w:r>
      <w:r>
        <w:fldChar w:fldCharType="separate"/>
      </w:r>
      <w:r>
        <w:rPr>
          <w:rStyle w:val="11"/>
          <w:rFonts w:ascii="仿宋_GB2312" w:hAnsi="仿宋_GB2312" w:eastAsia="仿宋_GB2312" w:cs="仿宋_GB2312"/>
          <w:kern w:val="36"/>
        </w:rPr>
        <w:t>5管理实施要求</w:t>
      </w:r>
      <w:r>
        <w:tab/>
      </w:r>
      <w:r>
        <w:fldChar w:fldCharType="begin"/>
      </w:r>
      <w:r>
        <w:instrText xml:space="preserve"> PAGEREF _Toc256000027 \h </w:instrText>
      </w:r>
      <w:r>
        <w:fldChar w:fldCharType="separate"/>
      </w:r>
      <w:r>
        <w:t>16</w:t>
      </w:r>
      <w:r>
        <w:fldChar w:fldCharType="end"/>
      </w:r>
      <w:r>
        <w:fldChar w:fldCharType="end"/>
      </w:r>
    </w:p>
    <w:p>
      <w:pPr>
        <w:pStyle w:val="7"/>
        <w:tabs>
          <w:tab w:val="right" w:leader="dot" w:pos="9016"/>
        </w:tabs>
        <w:spacing w:before="0" w:after="0" w:line="360" w:lineRule="auto"/>
        <w:rPr>
          <w:rFonts w:asciiTheme="minorHAnsi" w:hAnsiTheme="minorHAnsi"/>
          <w:sz w:val="22"/>
        </w:rPr>
      </w:pPr>
      <w:r>
        <w:fldChar w:fldCharType="begin"/>
      </w:r>
      <w:r>
        <w:instrText xml:space="preserve"> HYPERLINK \l "_Toc256000028" </w:instrText>
      </w:r>
      <w:r>
        <w:fldChar w:fldCharType="separate"/>
      </w:r>
      <w:r>
        <w:rPr>
          <w:rStyle w:val="11"/>
          <w:rFonts w:ascii="仿宋_GB2312" w:hAnsi="仿宋_GB2312" w:eastAsia="仿宋_GB2312" w:cs="仿宋_GB2312"/>
          <w:kern w:val="36"/>
        </w:rPr>
        <w:t>6风险管控要求</w:t>
      </w:r>
      <w:r>
        <w:tab/>
      </w:r>
      <w:r>
        <w:fldChar w:fldCharType="begin"/>
      </w:r>
      <w:r>
        <w:instrText xml:space="preserve"> PAGEREF _Toc256000028 \h </w:instrText>
      </w:r>
      <w:r>
        <w:fldChar w:fldCharType="separate"/>
      </w:r>
      <w:r>
        <w:t>17</w:t>
      </w:r>
      <w:r>
        <w:fldChar w:fldCharType="end"/>
      </w:r>
      <w:r>
        <w:fldChar w:fldCharType="end"/>
      </w:r>
    </w:p>
    <w:p>
      <w:pPr>
        <w:pStyle w:val="7"/>
        <w:tabs>
          <w:tab w:val="right" w:leader="dot" w:pos="9016"/>
        </w:tabs>
        <w:spacing w:before="0" w:after="0" w:line="360" w:lineRule="auto"/>
        <w:rPr>
          <w:rFonts w:asciiTheme="minorHAnsi" w:hAnsiTheme="minorHAnsi"/>
          <w:sz w:val="22"/>
        </w:rPr>
      </w:pPr>
      <w:r>
        <w:fldChar w:fldCharType="begin"/>
      </w:r>
      <w:r>
        <w:instrText xml:space="preserve"> HYPERLINK \l "_Toc256000029" </w:instrText>
      </w:r>
      <w:r>
        <w:fldChar w:fldCharType="separate"/>
      </w:r>
      <w:r>
        <w:rPr>
          <w:rStyle w:val="11"/>
          <w:rFonts w:ascii="仿宋_GB2312" w:hAnsi="仿宋_GB2312" w:eastAsia="仿宋_GB2312" w:cs="仿宋_GB2312"/>
          <w:kern w:val="36"/>
        </w:rPr>
        <w:t>7履约验收要求</w:t>
      </w:r>
      <w:r>
        <w:tab/>
      </w:r>
      <w:r>
        <w:fldChar w:fldCharType="begin"/>
      </w:r>
      <w:r>
        <w:instrText xml:space="preserve"> PAGEREF _Toc256000029 \h </w:instrText>
      </w:r>
      <w:r>
        <w:fldChar w:fldCharType="separate"/>
      </w:r>
      <w:r>
        <w:t>17</w:t>
      </w:r>
      <w:r>
        <w:fldChar w:fldCharType="end"/>
      </w:r>
      <w:r>
        <w:fldChar w:fldCharType="end"/>
      </w:r>
    </w:p>
    <w:p>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"_Toc256000030" </w:instrText>
      </w:r>
      <w:r>
        <w:fldChar w:fldCharType="separate"/>
      </w:r>
      <w:r>
        <w:rPr>
          <w:rStyle w:val="11"/>
          <w:rFonts w:ascii="仿宋_GB2312" w:hAnsi="仿宋_GB2312" w:eastAsia="仿宋_GB2312" w:cs="仿宋_GB2312"/>
        </w:rPr>
        <w:t>7.1总体要求</w:t>
      </w:r>
      <w:r>
        <w:tab/>
      </w:r>
      <w:r>
        <w:fldChar w:fldCharType="begin"/>
      </w:r>
      <w:r>
        <w:instrText xml:space="preserve"> PAGEREF _Toc256000030 \h </w:instrText>
      </w:r>
      <w:r>
        <w:fldChar w:fldCharType="separate"/>
      </w:r>
      <w:r>
        <w:t>17</w:t>
      </w:r>
      <w:r>
        <w:fldChar w:fldCharType="end"/>
      </w:r>
      <w:r>
        <w:fldChar w:fldCharType="end"/>
      </w:r>
    </w:p>
    <w:p>
      <w:pPr>
        <w:pStyle w:val="7"/>
        <w:tabs>
          <w:tab w:val="right" w:leader="dot" w:pos="9016"/>
        </w:tabs>
        <w:spacing w:before="0" w:after="0" w:line="360" w:lineRule="auto"/>
        <w:rPr>
          <w:rFonts w:asciiTheme="minorHAnsi" w:hAnsiTheme="minorHAnsi"/>
          <w:sz w:val="22"/>
        </w:rPr>
      </w:pPr>
      <w:r>
        <w:fldChar w:fldCharType="begin"/>
      </w:r>
      <w:r>
        <w:instrText xml:space="preserve"> HYPERLINK \l "_Toc256000031" </w:instrText>
      </w:r>
      <w:r>
        <w:fldChar w:fldCharType="separate"/>
      </w:r>
      <w:r>
        <w:rPr>
          <w:rStyle w:val="11"/>
          <w:rFonts w:ascii="仿宋_GB2312" w:hAnsi="仿宋_GB2312" w:eastAsia="仿宋_GB2312" w:cs="仿宋_GB2312"/>
          <w:kern w:val="36"/>
        </w:rPr>
        <w:t>8其他要求</w:t>
      </w:r>
      <w:r>
        <w:tab/>
      </w:r>
      <w:r>
        <w:fldChar w:fldCharType="begin"/>
      </w:r>
      <w:r>
        <w:instrText xml:space="preserve"> PAGEREF _Toc256000031 \h </w:instrText>
      </w:r>
      <w:r>
        <w:fldChar w:fldCharType="separate"/>
      </w:r>
      <w:r>
        <w:t>18</w:t>
      </w:r>
      <w:r>
        <w:fldChar w:fldCharType="end"/>
      </w:r>
      <w:r>
        <w:fldChar w:fldCharType="end"/>
      </w:r>
    </w:p>
    <w:p>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"_Toc256000032" </w:instrText>
      </w:r>
      <w:r>
        <w:fldChar w:fldCharType="separate"/>
      </w:r>
      <w:r>
        <w:rPr>
          <w:rStyle w:val="11"/>
          <w:rFonts w:ascii="仿宋_GB2312" w:hAnsi="仿宋_GB2312" w:eastAsia="仿宋_GB2312" w:cs="仿宋_GB2312"/>
        </w:rPr>
        <w:t>8.1必备要求</w:t>
      </w:r>
      <w:r>
        <w:tab/>
      </w:r>
      <w:r>
        <w:fldChar w:fldCharType="begin"/>
      </w:r>
      <w:r>
        <w:instrText xml:space="preserve"> PAGEREF _Toc256000032 \h </w:instrText>
      </w:r>
      <w:r>
        <w:fldChar w:fldCharType="separate"/>
      </w:r>
      <w:r>
        <w:t>18</w:t>
      </w:r>
      <w:r>
        <w:fldChar w:fldCharType="end"/>
      </w:r>
      <w:r>
        <w:fldChar w:fldCharType="end"/>
      </w:r>
    </w:p>
    <w:p>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"_Toc256000033" </w:instrText>
      </w:r>
      <w:r>
        <w:fldChar w:fldCharType="separate"/>
      </w:r>
      <w:r>
        <w:rPr>
          <w:rStyle w:val="11"/>
          <w:rFonts w:ascii="仿宋_GB2312" w:hAnsi="仿宋_GB2312" w:eastAsia="仿宋_GB2312" w:cs="仿宋_GB2312"/>
        </w:rPr>
        <w:t>8.1.1通用必备要求</w:t>
      </w:r>
      <w:r>
        <w:tab/>
      </w:r>
      <w:r>
        <w:fldChar w:fldCharType="begin"/>
      </w:r>
      <w:r>
        <w:instrText xml:space="preserve"> PAGEREF _Toc256000033 \h </w:instrText>
      </w:r>
      <w:r>
        <w:fldChar w:fldCharType="separate"/>
      </w:r>
      <w:r>
        <w:t>18</w:t>
      </w:r>
      <w:r>
        <w:fldChar w:fldCharType="end"/>
      </w:r>
      <w:r>
        <w:fldChar w:fldCharType="end"/>
      </w:r>
    </w:p>
    <w:p>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"_Toc256000034" </w:instrText>
      </w:r>
      <w:r>
        <w:fldChar w:fldCharType="separate"/>
      </w:r>
      <w:r>
        <w:rPr>
          <w:rStyle w:val="11"/>
          <w:rFonts w:ascii="仿宋_GB2312" w:hAnsi="仿宋_GB2312" w:eastAsia="仿宋_GB2312" w:cs="仿宋_GB2312"/>
        </w:rPr>
        <w:t>8.2付款安排建议</w:t>
      </w:r>
      <w:r>
        <w:tab/>
      </w:r>
      <w:r>
        <w:fldChar w:fldCharType="begin"/>
      </w:r>
      <w:r>
        <w:instrText xml:space="preserve"> PAGEREF _Toc256000034 \h </w:instrText>
      </w:r>
      <w:r>
        <w:fldChar w:fldCharType="separate"/>
      </w:r>
      <w:r>
        <w:t>18</w:t>
      </w:r>
      <w:r>
        <w:fldChar w:fldCharType="end"/>
      </w:r>
      <w:r>
        <w:fldChar w:fldCharType="end"/>
      </w:r>
    </w:p>
    <w:p>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"_Toc256000035" </w:instrText>
      </w:r>
      <w:r>
        <w:fldChar w:fldCharType="separate"/>
      </w:r>
      <w:r>
        <w:rPr>
          <w:rStyle w:val="11"/>
          <w:rFonts w:ascii="仿宋_GB2312" w:hAnsi="仿宋_GB2312" w:eastAsia="仿宋_GB2312" w:cs="仿宋_GB2312"/>
        </w:rPr>
        <w:t>8.3其他要求</w:t>
      </w:r>
      <w:r>
        <w:tab/>
      </w:r>
      <w:r>
        <w:fldChar w:fldCharType="begin"/>
      </w:r>
      <w:r>
        <w:instrText xml:space="preserve"> PAGEREF _Toc256000035 \h </w:instrText>
      </w:r>
      <w:r>
        <w:fldChar w:fldCharType="separate"/>
      </w:r>
      <w:r>
        <w:t>19</w:t>
      </w:r>
      <w:r>
        <w:fldChar w:fldCharType="end"/>
      </w:r>
      <w:r>
        <w:fldChar w:fldCharType="end"/>
      </w:r>
    </w:p>
    <w:p>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"_Toc256000036" </w:instrText>
      </w:r>
      <w:r>
        <w:fldChar w:fldCharType="separate"/>
      </w:r>
      <w:r>
        <w:rPr>
          <w:rStyle w:val="11"/>
          <w:rFonts w:ascii="仿宋_GB2312" w:hAnsi="仿宋_GB2312" w:eastAsia="仿宋_GB2312" w:cs="仿宋_GB2312"/>
        </w:rPr>
        <w:t>8.3.1保密要求</w:t>
      </w:r>
      <w:r>
        <w:tab/>
      </w:r>
      <w:r>
        <w:fldChar w:fldCharType="begin"/>
      </w:r>
      <w:r>
        <w:instrText xml:space="preserve"> PAGEREF _Toc256000036 \h </w:instrText>
      </w:r>
      <w:r>
        <w:fldChar w:fldCharType="separate"/>
      </w:r>
      <w:r>
        <w:t>19</w:t>
      </w:r>
      <w:r>
        <w:fldChar w:fldCharType="end"/>
      </w:r>
      <w:r>
        <w:fldChar w:fldCharType="end"/>
      </w:r>
    </w:p>
    <w:p>
      <w:pPr>
        <w:spacing w:before="0" w:after="0" w:line="360" w:lineRule="auto"/>
        <w:jc w:val="left"/>
      </w:pPr>
      <w:r>
        <w:rPr>
          <w:rFonts w:ascii="SimSun" w:hAnsi="SimSun" w:eastAsia="SimSun" w:cs="SimSun"/>
          <w:sz w:val="32"/>
        </w:rPr>
        <w:fldChar w:fldCharType="end"/>
      </w:r>
      <w:r>
        <w:br w:type="page"/>
      </w:r>
    </w:p>
    <w:p>
      <w:pPr>
        <w:pStyle w:val="2"/>
        <w:keepNext w:val="0"/>
        <w:spacing w:before="0" w:after="0" w:line="360" w:lineRule="auto"/>
        <w:jc w:val="center"/>
        <w:rPr>
          <w:rFonts w:ascii="仿宋_GB2312" w:hAnsi="仿宋_GB2312" w:eastAsia="仿宋_GB2312" w:cs="仿宋_GB2312"/>
          <w:b/>
          <w:bCs/>
          <w:sz w:val="32"/>
          <w:szCs w:val="32"/>
        </w:rPr>
      </w:pPr>
      <w:bookmarkStart w:id="2" w:name="_Toc256000000"/>
      <w:r>
        <w:rPr>
          <w:rFonts w:ascii="仿宋_GB2312" w:hAnsi="仿宋_GB2312" w:eastAsia="仿宋_GB2312" w:cs="仿宋_GB2312"/>
          <w:kern w:val="36"/>
        </w:rPr>
        <w:t>1项目概述</w:t>
      </w:r>
      <w:bookmarkEnd w:id="2"/>
    </w:p>
    <w:p>
      <w:pPr>
        <w:pStyle w:val="3"/>
        <w:keepNext w:val="0"/>
        <w:spacing w:before="0" w:after="0" w:line="360" w:lineRule="auto"/>
        <w:rPr>
          <w:rFonts w:ascii="仿宋_GB2312" w:hAnsi="仿宋_GB2312" w:eastAsia="仿宋_GB2312" w:cs="仿宋_GB2312"/>
          <w:b/>
          <w:bCs/>
          <w:sz w:val="28"/>
          <w:szCs w:val="28"/>
        </w:rPr>
      </w:pPr>
      <w:bookmarkStart w:id="3" w:name="_Toc256000001"/>
      <w:r>
        <w:rPr>
          <w:rFonts w:ascii="仿宋_GB2312" w:hAnsi="仿宋_GB2312" w:eastAsia="仿宋_GB2312" w:cs="仿宋_GB2312"/>
          <w:i w:val="0"/>
          <w:iCs w:val="0"/>
        </w:rPr>
        <w:t>1.1项目背景</w:t>
      </w:r>
      <w:bookmarkEnd w:id="3"/>
    </w:p>
    <w:p>
      <w:pPr>
        <w:pStyle w:val="4"/>
        <w:keepNext w:val="0"/>
        <w:spacing w:before="0" w:after="0" w:line="360" w:lineRule="auto"/>
        <w:rPr>
          <w:rFonts w:ascii="仿宋_GB2312" w:hAnsi="仿宋_GB2312" w:eastAsia="仿宋_GB2312" w:cs="仿宋_GB2312"/>
          <w:b/>
          <w:bCs/>
          <w:sz w:val="28"/>
          <w:szCs w:val="28"/>
        </w:rPr>
      </w:pPr>
      <w:bookmarkStart w:id="4" w:name="_Toc256000002"/>
      <w:r>
        <w:rPr>
          <w:rFonts w:ascii="仿宋_GB2312" w:hAnsi="仿宋_GB2312" w:eastAsia="仿宋_GB2312" w:cs="仿宋_GB2312"/>
          <w:sz w:val="28"/>
          <w:szCs w:val="28"/>
        </w:rPr>
        <w:t>1.1.1项目目的、意义及背景</w:t>
      </w:r>
      <w:bookmarkEnd w:id="4"/>
    </w:p>
    <w:p>
      <w:pPr>
        <w:pStyle w:val="12"/>
        <w:spacing w:before="0" w:after="0" w:line="360" w:lineRule="auto"/>
        <w:rPr>
          <w:rFonts w:ascii="Times New Roman" w:hAnsi="Times New Roman" w:eastAsia="Times New Roman" w:cs="Times New Roman"/>
        </w:rPr>
      </w:pPr>
      <w:r>
        <w:rPr>
          <w:rFonts w:ascii="SimSun" w:hAnsi="SimSun" w:eastAsia="SimSun" w:cs="SimSun"/>
          <w:sz w:val="21"/>
          <w:szCs w:val="21"/>
        </w:rPr>
        <w:t>根据实际工作需要，以2026年8月21日中共国家税务总局平度市税务局委员会会议纪要</w:t>
      </w:r>
      <w:bookmarkStart w:id="39" w:name="_GoBack"/>
      <w:bookmarkEnd w:id="39"/>
      <w:r>
        <w:rPr>
          <w:rFonts w:ascii="SimSun" w:hAnsi="SimSun" w:eastAsia="SimSun" w:cs="SimSun"/>
          <w:sz w:val="21"/>
          <w:szCs w:val="21"/>
        </w:rPr>
        <w:t>，启动该项目采购。本项目已于2026年08月25日在中国政府采购网进行了政府采购意向公开，同步在税智采平台发布。</w:t>
      </w:r>
    </w:p>
    <w:p>
      <w:pPr>
        <w:pStyle w:val="3"/>
        <w:keepNext w:val="0"/>
        <w:spacing w:before="0" w:after="0" w:line="360" w:lineRule="auto"/>
        <w:rPr>
          <w:rFonts w:ascii="仿宋_GB2312" w:hAnsi="仿宋_GB2312" w:eastAsia="仿宋_GB2312" w:cs="仿宋_GB2312"/>
          <w:b/>
          <w:bCs/>
          <w:sz w:val="28"/>
          <w:szCs w:val="28"/>
        </w:rPr>
      </w:pPr>
      <w:bookmarkStart w:id="5" w:name="_Toc256000003"/>
      <w:r>
        <w:rPr>
          <w:rFonts w:ascii="仿宋_GB2312" w:hAnsi="仿宋_GB2312" w:eastAsia="仿宋_GB2312" w:cs="仿宋_GB2312"/>
          <w:i w:val="0"/>
          <w:iCs w:val="0"/>
        </w:rPr>
        <w:t>1.2项目内容</w:t>
      </w:r>
      <w:bookmarkEnd w:id="5"/>
    </w:p>
    <w:p>
      <w:pPr>
        <w:pStyle w:val="4"/>
        <w:keepNext w:val="0"/>
        <w:spacing w:before="0" w:after="0" w:line="360" w:lineRule="auto"/>
        <w:rPr>
          <w:rFonts w:ascii="仿宋_GB2312" w:hAnsi="仿宋_GB2312" w:eastAsia="仿宋_GB2312" w:cs="仿宋_GB2312"/>
          <w:b/>
          <w:bCs/>
          <w:sz w:val="28"/>
          <w:szCs w:val="28"/>
        </w:rPr>
      </w:pPr>
      <w:bookmarkStart w:id="6" w:name="_Toc256000004"/>
      <w:r>
        <w:rPr>
          <w:rFonts w:ascii="仿宋_GB2312" w:hAnsi="仿宋_GB2312" w:eastAsia="仿宋_GB2312" w:cs="仿宋_GB2312"/>
          <w:sz w:val="28"/>
          <w:szCs w:val="28"/>
        </w:rPr>
        <w:t>1.2.1项目建设思路</w:t>
      </w:r>
      <w:bookmarkEnd w:id="6"/>
    </w:p>
    <w:p>
      <w:pPr>
        <w:pStyle w:val="13"/>
        <w:spacing w:before="0" w:after="0" w:line="360" w:lineRule="auto"/>
        <w:ind w:firstLine="482"/>
        <w:rPr>
          <w:rFonts w:ascii="Times New Roman" w:hAnsi="Times New Roman" w:eastAsia="Times New Roman" w:cs="Times New Roman"/>
        </w:rPr>
      </w:pPr>
      <w:r>
        <w:rPr>
          <w:rFonts w:ascii="SimSun" w:hAnsi="SimSun" w:eastAsia="SimSun" w:cs="SimSun"/>
          <w:sz w:val="21"/>
          <w:szCs w:val="21"/>
        </w:rPr>
        <w:t>2024年06月26日青岛市税务局政府采购领导小组对改革试点的食堂食材类采购项目的采购形式、评分设定情况进行了研究，确定了青岛市税务系统食堂食材类采购项目评审内容及分值的规范性模板。本项目实施计划的相关内容原则上按照该模版编制。</w:t>
      </w:r>
    </w:p>
    <w:p>
      <w:pPr>
        <w:pStyle w:val="4"/>
        <w:keepNext w:val="0"/>
        <w:spacing w:before="0" w:after="0" w:line="360" w:lineRule="auto"/>
        <w:rPr>
          <w:rFonts w:ascii="仿宋_GB2312" w:hAnsi="仿宋_GB2312" w:eastAsia="仿宋_GB2312" w:cs="仿宋_GB2312"/>
          <w:b/>
          <w:bCs/>
          <w:sz w:val="28"/>
          <w:szCs w:val="28"/>
        </w:rPr>
      </w:pPr>
      <w:bookmarkStart w:id="7" w:name="_Toc256000005"/>
      <w:r>
        <w:rPr>
          <w:rFonts w:ascii="仿宋_GB2312" w:hAnsi="仿宋_GB2312" w:eastAsia="仿宋_GB2312" w:cs="仿宋_GB2312"/>
          <w:sz w:val="28"/>
          <w:szCs w:val="28"/>
        </w:rPr>
        <w:t>1.2.2采购内容</w:t>
      </w:r>
      <w:bookmarkEnd w:id="7"/>
    </w:p>
    <w:tbl>
      <w:tblPr>
        <w:tblStyle w:val="14"/>
        <w:tblW w:w="8984" w:type="dxa"/>
        <w:jc w:val="center"/>
        <w:tblCellSpacing w:w="0" w:type="dxa"/>
        <w:tblLayout w:type="autofit"/>
        <w:tblCellMar>
          <w:top w:w="15" w:type="dxa"/>
          <w:left w:w="15" w:type="dxa"/>
          <w:bottom w:w="15" w:type="dxa"/>
          <w:right w:w="15" w:type="dxa"/>
        </w:tblCellMar>
      </w:tblPr>
      <w:tblGrid>
        <w:gridCol w:w="807"/>
        <w:gridCol w:w="3893"/>
        <w:gridCol w:w="1835"/>
        <w:gridCol w:w="2449"/>
      </w:tblGrid>
      <w:tr>
        <w:tblPrEx>
          <w:tblCellMar>
            <w:top w:w="15" w:type="dxa"/>
            <w:left w:w="15" w:type="dxa"/>
            <w:bottom w:w="15" w:type="dxa"/>
            <w:right w:w="15" w:type="dxa"/>
          </w:tblCellMar>
        </w:tblPrEx>
        <w:trPr>
          <w:trHeight w:val="471" w:hRule="atLeast"/>
          <w:tblCellSpacing w:w="0" w:type="dxa"/>
          <w:jc w:val="center"/>
        </w:trPr>
        <w:tc>
          <w:tcPr>
            <w:tcW w:w="854"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包号</w:t>
            </w:r>
          </w:p>
        </w:tc>
        <w:tc>
          <w:tcPr>
            <w:tcW w:w="4335"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产品或货物名称</w:t>
            </w:r>
          </w:p>
        </w:tc>
        <w:tc>
          <w:tcPr>
            <w:tcW w:w="2019"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每包最高限价</w:t>
            </w:r>
          </w:p>
        </w:tc>
        <w:tc>
          <w:tcPr>
            <w:tcW w:w="2740"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采购标的对应的中小企业划分标准所属行业</w:t>
            </w:r>
          </w:p>
        </w:tc>
      </w:tr>
      <w:tr>
        <w:tblPrEx>
          <w:tblCellMar>
            <w:top w:w="15" w:type="dxa"/>
            <w:left w:w="15" w:type="dxa"/>
            <w:bottom w:w="15" w:type="dxa"/>
            <w:right w:w="15" w:type="dxa"/>
          </w:tblCellMar>
        </w:tblPrEx>
        <w:trPr>
          <w:trHeight w:val="471" w:hRule="atLeast"/>
          <w:tblCellSpacing w:w="0" w:type="dxa"/>
          <w:jc w:val="center"/>
        </w:trPr>
        <w:tc>
          <w:tcPr>
            <w:tcW w:w="854"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1</w:t>
            </w:r>
          </w:p>
        </w:tc>
        <w:tc>
          <w:tcPr>
            <w:tcW w:w="433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ind w:left="0" w:right="0"/>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粮食类(包括：大米、面粉、玉米面、淀粉等)、调味品类、副食品类、禽蛋类、食用油类（花生油、大豆油、玉米油等）、奶制品类食材</w:t>
            </w:r>
          </w:p>
        </w:tc>
        <w:tc>
          <w:tcPr>
            <w:tcW w:w="2019"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125万元</w:t>
            </w:r>
          </w:p>
        </w:tc>
        <w:tc>
          <w:tcPr>
            <w:tcW w:w="274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工业</w:t>
            </w:r>
          </w:p>
        </w:tc>
      </w:tr>
      <w:tr>
        <w:tblPrEx>
          <w:tblCellMar>
            <w:top w:w="15" w:type="dxa"/>
            <w:left w:w="15" w:type="dxa"/>
            <w:bottom w:w="15" w:type="dxa"/>
            <w:right w:w="15" w:type="dxa"/>
          </w:tblCellMar>
        </w:tblPrEx>
        <w:trPr>
          <w:trHeight w:val="932" w:hRule="atLeast"/>
          <w:tblCellSpacing w:w="0" w:type="dxa"/>
          <w:jc w:val="center"/>
        </w:trPr>
        <w:tc>
          <w:tcPr>
            <w:tcW w:w="854"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2</w:t>
            </w:r>
          </w:p>
        </w:tc>
        <w:tc>
          <w:tcPr>
            <w:tcW w:w="433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ind w:left="0" w:right="0"/>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蔬菜类、水果类食材</w:t>
            </w:r>
          </w:p>
        </w:tc>
        <w:tc>
          <w:tcPr>
            <w:tcW w:w="2019"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50万元</w:t>
            </w:r>
          </w:p>
        </w:tc>
        <w:tc>
          <w:tcPr>
            <w:tcW w:w="274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工业</w:t>
            </w:r>
          </w:p>
        </w:tc>
      </w:tr>
      <w:tr>
        <w:tblPrEx>
          <w:tblCellMar>
            <w:top w:w="15" w:type="dxa"/>
            <w:left w:w="15" w:type="dxa"/>
            <w:bottom w:w="15" w:type="dxa"/>
            <w:right w:w="15" w:type="dxa"/>
          </w:tblCellMar>
        </w:tblPrEx>
        <w:trPr>
          <w:trHeight w:val="471" w:hRule="atLeast"/>
          <w:tblCellSpacing w:w="0" w:type="dxa"/>
          <w:jc w:val="center"/>
        </w:trPr>
        <w:tc>
          <w:tcPr>
            <w:tcW w:w="854"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3</w:t>
            </w:r>
          </w:p>
        </w:tc>
        <w:tc>
          <w:tcPr>
            <w:tcW w:w="433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ind w:left="0" w:right="0"/>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肉产品类、水产品类食材</w:t>
            </w:r>
          </w:p>
        </w:tc>
        <w:tc>
          <w:tcPr>
            <w:tcW w:w="2019"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76万元</w:t>
            </w:r>
          </w:p>
        </w:tc>
        <w:tc>
          <w:tcPr>
            <w:tcW w:w="274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工业</w:t>
            </w:r>
          </w:p>
        </w:tc>
      </w:tr>
    </w:tbl>
    <w:p>
      <w:pPr>
        <w:pStyle w:val="4"/>
        <w:keepNext w:val="0"/>
        <w:spacing w:before="0" w:after="0" w:line="360" w:lineRule="auto"/>
        <w:rPr>
          <w:rFonts w:ascii="仿宋_GB2312" w:hAnsi="仿宋_GB2312" w:eastAsia="仿宋_GB2312" w:cs="仿宋_GB2312"/>
          <w:b/>
          <w:bCs/>
          <w:sz w:val="28"/>
          <w:szCs w:val="28"/>
        </w:rPr>
      </w:pPr>
      <w:bookmarkStart w:id="8" w:name="_Toc256000006"/>
      <w:r>
        <w:rPr>
          <w:rFonts w:ascii="仿宋_GB2312" w:hAnsi="仿宋_GB2312" w:eastAsia="仿宋_GB2312" w:cs="仿宋_GB2312"/>
          <w:sz w:val="28"/>
          <w:szCs w:val="28"/>
        </w:rPr>
        <w:t>1.2.3项目实施要求</w:t>
      </w:r>
      <w:bookmarkEnd w:id="8"/>
    </w:p>
    <w:p>
      <w:pPr>
        <w:pStyle w:val="5"/>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1.2.3.1实施范围要求</w:t>
      </w:r>
    </w:p>
    <w:p>
      <w:pPr>
        <w:pStyle w:val="12"/>
        <w:spacing w:before="0" w:after="0" w:line="360" w:lineRule="auto"/>
        <w:ind w:left="0" w:right="0" w:firstLine="420"/>
        <w:rPr>
          <w:sz w:val="21"/>
          <w:szCs w:val="21"/>
        </w:rPr>
      </w:pPr>
      <w:r>
        <w:rPr>
          <w:rFonts w:ascii="SimSun" w:hAnsi="SimSun" w:eastAsia="SimSun" w:cs="SimSun"/>
          <w:sz w:val="21"/>
          <w:szCs w:val="21"/>
        </w:rPr>
        <w:t>（一）原料的供货标准：</w:t>
      </w:r>
    </w:p>
    <w:p>
      <w:pPr>
        <w:pStyle w:val="12"/>
        <w:spacing w:before="0" w:after="0" w:line="360" w:lineRule="auto"/>
        <w:ind w:left="0" w:right="0" w:firstLine="420"/>
        <w:rPr>
          <w:sz w:val="21"/>
          <w:szCs w:val="21"/>
        </w:rPr>
      </w:pPr>
      <w:r>
        <w:rPr>
          <w:rFonts w:ascii="SimSun" w:hAnsi="SimSun" w:eastAsia="SimSun" w:cs="SimSun"/>
          <w:sz w:val="21"/>
          <w:szCs w:val="21"/>
        </w:rPr>
        <w:t>1.蔬菜瓜果应保证新鲜，由正规商家供货，符合国家食品卫生标准。投标人应提供按照国家相关规定、相关检测标准出具的检验报告、合格证及国家规定的相关证件。</w:t>
      </w:r>
    </w:p>
    <w:p>
      <w:pPr>
        <w:pStyle w:val="12"/>
        <w:spacing w:before="0" w:after="0" w:line="360" w:lineRule="auto"/>
        <w:ind w:left="0" w:right="0" w:firstLine="420"/>
        <w:rPr>
          <w:sz w:val="21"/>
          <w:szCs w:val="21"/>
        </w:rPr>
      </w:pPr>
      <w:r>
        <w:rPr>
          <w:rFonts w:ascii="SimSun" w:hAnsi="SimSun" w:eastAsia="SimSun" w:cs="SimSun"/>
          <w:sz w:val="21"/>
          <w:szCs w:val="21"/>
        </w:rPr>
        <w:t>2.冷鲜肉（包括猪肉、牛肉、羊肉、鲜（冻）鸡鸭、鸡副产品）等，所供冷鲜肉供货时，每批次须随货提供动物检验检疫合格证明；须加工的肉制品还应具备SC食品生产许可证编号。</w:t>
      </w:r>
    </w:p>
    <w:p>
      <w:pPr>
        <w:pStyle w:val="12"/>
        <w:spacing w:before="0" w:after="0" w:line="360" w:lineRule="auto"/>
        <w:ind w:left="0" w:right="0" w:firstLine="420"/>
        <w:rPr>
          <w:sz w:val="21"/>
          <w:szCs w:val="21"/>
        </w:rPr>
      </w:pPr>
      <w:r>
        <w:rPr>
          <w:rFonts w:ascii="SimSun" w:hAnsi="SimSun" w:eastAsia="SimSun" w:cs="SimSun"/>
          <w:sz w:val="21"/>
          <w:szCs w:val="21"/>
        </w:rPr>
        <w:t>3.水产品、鱼类应体表光滑，无病灶，鳞片完整，无浑浊粘液，鱼类肉质紧密，有弹性，呈白色或淡黄色，眼球外突饱满透明，鳃丝清晰鲜红或暗红，保持活体状态固有本色，无异味，其他海鲜类产品要求新鲜无异味，肉质紧密。</w:t>
      </w:r>
    </w:p>
    <w:p>
      <w:pPr>
        <w:pStyle w:val="12"/>
        <w:spacing w:before="0" w:after="0" w:line="360" w:lineRule="auto"/>
        <w:ind w:left="0" w:right="0" w:firstLine="420"/>
        <w:rPr>
          <w:sz w:val="21"/>
          <w:szCs w:val="21"/>
        </w:rPr>
      </w:pPr>
      <w:r>
        <w:rPr>
          <w:rFonts w:ascii="SimSun" w:hAnsi="SimSun" w:eastAsia="SimSun" w:cs="SimSun"/>
          <w:sz w:val="21"/>
          <w:szCs w:val="21"/>
        </w:rPr>
        <w:t>4.投标人销售给采购人的禽蛋应新鲜，大小均匀，无异味，色泽光滑，无破损。投标人销售给采购人的产品应由正规厂家供货，产地、厂址、保质期等标识明确，符合国家食品卫生标准。投标人应提供按照国家相关规定、相关检测标准出具的检验报告、合格证及国家规定的相关证件。</w:t>
      </w:r>
    </w:p>
    <w:p>
      <w:pPr>
        <w:pStyle w:val="12"/>
        <w:spacing w:before="0" w:after="0" w:line="360" w:lineRule="auto"/>
        <w:ind w:left="0" w:right="0" w:firstLine="420"/>
        <w:rPr>
          <w:sz w:val="21"/>
          <w:szCs w:val="21"/>
        </w:rPr>
      </w:pPr>
      <w:r>
        <w:rPr>
          <w:rFonts w:ascii="SimSun" w:hAnsi="SimSun" w:eastAsia="SimSun" w:cs="SimSun"/>
          <w:sz w:val="21"/>
          <w:szCs w:val="21"/>
        </w:rPr>
        <w:t>5.粮油、副食品、调料、奶制品等产品应由正规厂家供货，产地、厂址、保质期等标识明确，符合国家食品卫生标准。应提供按照国家相关规定、相关检测标准出具的检验报告、合格证及国家规定的相关证件。同时，所有产品必须在保质期内，且不得是临近保质期产品。（注：以下为临近保质期产品：食品保质期为一年以上的，期满之日前45天；保质期为半年以上不足一年的，期满之日前20天；保质期90天以上不足半年的，期满之日前15天；保质期30天以上不足90天的，期满之日前10天；保质期16天以上不足30天的，期满之日前5天；保质期少于15天的，期满之日前3天。）</w:t>
      </w:r>
    </w:p>
    <w:p>
      <w:pPr>
        <w:pStyle w:val="12"/>
        <w:spacing w:before="0" w:after="0" w:line="360" w:lineRule="auto"/>
        <w:ind w:left="0" w:right="0" w:firstLine="420"/>
        <w:rPr>
          <w:sz w:val="21"/>
          <w:szCs w:val="21"/>
        </w:rPr>
      </w:pPr>
      <w:r>
        <w:rPr>
          <w:rFonts w:ascii="SimSun" w:hAnsi="SimSun" w:eastAsia="SimSun" w:cs="SimSun"/>
          <w:sz w:val="21"/>
          <w:szCs w:val="21"/>
        </w:rPr>
        <w:t>6.包装标准：货物包装符合食品种类、规格等要求。如配送货物的卫生、质量及包装不符合《中华人民共和国食品安全法》的要求，采购人将予以拒收。</w:t>
      </w:r>
    </w:p>
    <w:p>
      <w:pPr>
        <w:pStyle w:val="12"/>
        <w:spacing w:before="0" w:after="0" w:line="360" w:lineRule="auto"/>
        <w:ind w:left="0" w:right="0" w:firstLine="420"/>
        <w:rPr>
          <w:sz w:val="21"/>
          <w:szCs w:val="21"/>
        </w:rPr>
      </w:pPr>
      <w:r>
        <w:rPr>
          <w:rFonts w:ascii="SimSun" w:hAnsi="SimSun" w:eastAsia="SimSun" w:cs="SimSun"/>
          <w:sz w:val="21"/>
          <w:szCs w:val="21"/>
        </w:rPr>
        <w:t>（二）原料的质量标准：</w:t>
      </w:r>
    </w:p>
    <w:p>
      <w:pPr>
        <w:pStyle w:val="12"/>
        <w:spacing w:before="0" w:after="0" w:line="360" w:lineRule="auto"/>
        <w:ind w:left="0" w:right="0" w:firstLine="420"/>
        <w:rPr>
          <w:sz w:val="21"/>
          <w:szCs w:val="21"/>
        </w:rPr>
      </w:pPr>
      <w:r>
        <w:rPr>
          <w:rFonts w:ascii="SimSun" w:hAnsi="SimSun" w:eastAsia="SimSun" w:cs="SimSun"/>
          <w:sz w:val="21"/>
          <w:szCs w:val="21"/>
        </w:rPr>
        <w:t>第一包：粮食类(包括：大米、面粉、玉米面、淀粉等)、调味品类、副食品类、禽蛋类、食用油类（花生油、大豆油、玉米油等）、奶制品类食材</w:t>
      </w:r>
    </w:p>
    <w:tbl>
      <w:tblPr>
        <w:tblStyle w:val="14"/>
        <w:tblW w:w="9403" w:type="dxa"/>
        <w:jc w:val="center"/>
        <w:tblCellSpacing w:w="0" w:type="dxa"/>
        <w:tblLayout w:type="autofit"/>
        <w:tblCellMar>
          <w:top w:w="15" w:type="dxa"/>
          <w:left w:w="15" w:type="dxa"/>
          <w:bottom w:w="15" w:type="dxa"/>
          <w:right w:w="15" w:type="dxa"/>
        </w:tblCellMar>
      </w:tblPr>
      <w:tblGrid>
        <w:gridCol w:w="1466"/>
        <w:gridCol w:w="1353"/>
        <w:gridCol w:w="6584"/>
      </w:tblGrid>
      <w:tr>
        <w:tblPrEx>
          <w:tblCellMar>
            <w:top w:w="15" w:type="dxa"/>
            <w:left w:w="15" w:type="dxa"/>
            <w:bottom w:w="15" w:type="dxa"/>
            <w:right w:w="15" w:type="dxa"/>
          </w:tblCellMar>
        </w:tblPrEx>
        <w:trPr>
          <w:trHeight w:val="482" w:hRule="atLeast"/>
          <w:tblCellSpacing w:w="0" w:type="dxa"/>
          <w:jc w:val="center"/>
        </w:trPr>
        <w:tc>
          <w:tcPr>
            <w:tcW w:w="1570"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原料分类</w:t>
            </w:r>
          </w:p>
        </w:tc>
        <w:tc>
          <w:tcPr>
            <w:tcW w:w="1445"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品名</w:t>
            </w:r>
          </w:p>
        </w:tc>
        <w:tc>
          <w:tcPr>
            <w:tcW w:w="7116"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质量标准</w:t>
            </w:r>
          </w:p>
        </w:tc>
      </w:tr>
      <w:tr>
        <w:tblPrEx>
          <w:tblCellMar>
            <w:top w:w="15" w:type="dxa"/>
            <w:left w:w="15" w:type="dxa"/>
            <w:bottom w:w="15" w:type="dxa"/>
            <w:right w:w="15" w:type="dxa"/>
          </w:tblCellMar>
        </w:tblPrEx>
        <w:trPr>
          <w:trHeight w:val="1373" w:hRule="atLeast"/>
          <w:tblCellSpacing w:w="0" w:type="dxa"/>
          <w:jc w:val="center"/>
        </w:trPr>
        <w:tc>
          <w:tcPr>
            <w:tcW w:w="2779" w:type="dxa"/>
            <w:gridSpan w:val="2"/>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大米</w:t>
            </w:r>
          </w:p>
        </w:tc>
        <w:tc>
          <w:tcPr>
            <w:tcW w:w="7116"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米粒形均匀、整齐、重量大没有碎米和爆腰米；有腹白、硬度高；有清香味和光泽，无米糠和其它杂质、无虫草害、无异味、无霉味,滑爽、干燥；</w:t>
            </w:r>
          </w:p>
        </w:tc>
      </w:tr>
      <w:tr>
        <w:tblPrEx>
          <w:tblCellMar>
            <w:top w:w="15" w:type="dxa"/>
            <w:left w:w="15" w:type="dxa"/>
            <w:bottom w:w="15" w:type="dxa"/>
            <w:right w:w="15" w:type="dxa"/>
          </w:tblCellMar>
        </w:tblPrEx>
        <w:trPr>
          <w:trHeight w:val="170" w:hRule="atLeast"/>
          <w:tblCellSpacing w:w="0" w:type="dxa"/>
          <w:jc w:val="center"/>
        </w:trPr>
        <w:tc>
          <w:tcPr>
            <w:gridSpan w:val="2"/>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7116"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卫生指标符合GB2715-2016相关规定；外包装完好、清洁、卫生。标明厂名、品名、重量、生产日期、保质期或保存期、质量等级、食品生产许可证证号、产品标准号、产品合格证等内容；应符合GB/T17109-2008的相关规定；标签要求符合GB7718-2011的相关规定。</w:t>
            </w:r>
          </w:p>
        </w:tc>
      </w:tr>
      <w:tr>
        <w:tblPrEx>
          <w:tblCellMar>
            <w:top w:w="15" w:type="dxa"/>
            <w:left w:w="15" w:type="dxa"/>
            <w:bottom w:w="15" w:type="dxa"/>
            <w:right w:w="15" w:type="dxa"/>
          </w:tblCellMar>
        </w:tblPrEx>
        <w:trPr>
          <w:trHeight w:val="471" w:hRule="atLeast"/>
          <w:tblCellSpacing w:w="0" w:type="dxa"/>
          <w:jc w:val="center"/>
        </w:trPr>
        <w:tc>
          <w:tcPr>
            <w:tcW w:w="2779" w:type="dxa"/>
            <w:gridSpan w:val="2"/>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面粉</w:t>
            </w:r>
          </w:p>
        </w:tc>
        <w:tc>
          <w:tcPr>
            <w:tcW w:w="7116"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食品安全指标应符合GB2715-2016相关规定，面粉中不得添加非食用物质，包括过氧化苯甲酰、溴酸钾等。具有固有的色泽和香味，无异味或霉味，无虫蛀结块挂丝或杂质异物。小麦粉采购等级为特制一等，符合国家标准GB/T1355-2021。包装要求：外包装完好、清洁、卫生。标明厂名、品名、重量、生产日期、保质期或保存期、质量等级、SC许可证号、产品标准号、产品合格证等内容。标签要求：符合GB7718-2011。质保期：应符合GB/T1355-2021的规定。</w:t>
            </w:r>
          </w:p>
        </w:tc>
      </w:tr>
      <w:tr>
        <w:tblPrEx>
          <w:tblCellMar>
            <w:top w:w="15" w:type="dxa"/>
            <w:left w:w="15" w:type="dxa"/>
            <w:bottom w:w="15" w:type="dxa"/>
            <w:right w:w="15" w:type="dxa"/>
          </w:tblCellMar>
        </w:tblPrEx>
        <w:trPr>
          <w:trHeight w:val="170" w:hRule="atLeast"/>
          <w:tblCellSpacing w:w="0" w:type="dxa"/>
          <w:jc w:val="center"/>
        </w:trPr>
        <w:tc>
          <w:tcPr>
            <w:tcW w:w="2779" w:type="dxa"/>
            <w:gridSpan w:val="2"/>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玉米面</w:t>
            </w:r>
          </w:p>
        </w:tc>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r>
      <w:tr>
        <w:tblPrEx>
          <w:tblCellMar>
            <w:top w:w="15" w:type="dxa"/>
            <w:left w:w="15" w:type="dxa"/>
            <w:bottom w:w="15" w:type="dxa"/>
            <w:right w:w="15" w:type="dxa"/>
          </w:tblCellMar>
        </w:tblPrEx>
        <w:trPr>
          <w:trHeight w:val="1902" w:hRule="atLeast"/>
          <w:tblCellSpacing w:w="0" w:type="dxa"/>
          <w:jc w:val="center"/>
        </w:trPr>
        <w:tc>
          <w:tcPr>
            <w:tcW w:w="2779" w:type="dxa"/>
            <w:gridSpan w:val="2"/>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淀粉</w:t>
            </w:r>
          </w:p>
        </w:tc>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r>
      <w:tr>
        <w:tblPrEx>
          <w:tblCellMar>
            <w:top w:w="15" w:type="dxa"/>
            <w:left w:w="15" w:type="dxa"/>
            <w:bottom w:w="15" w:type="dxa"/>
            <w:right w:w="15" w:type="dxa"/>
          </w:tblCellMar>
        </w:tblPrEx>
        <w:trPr>
          <w:trHeight w:val="99" w:hRule="atLeast"/>
          <w:tblCellSpacing w:w="0" w:type="dxa"/>
          <w:jc w:val="center"/>
        </w:trPr>
        <w:tc>
          <w:tcPr>
            <w:tcW w:w="2779" w:type="dxa"/>
            <w:gridSpan w:val="2"/>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花生油、大豆油、玉米油等</w:t>
            </w:r>
          </w:p>
        </w:tc>
        <w:tc>
          <w:tcPr>
            <w:tcW w:w="7116"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卫生标准应当符合GB2716-2018规定。酸价：≤4；过氧化值（meq/kg）：≤20。质保期：自收到产品之日起，产品剩余保存期不得少于原有保质期的三分之二。</w:t>
            </w:r>
          </w:p>
        </w:tc>
      </w:tr>
      <w:tr>
        <w:tblPrEx>
          <w:tblCellMar>
            <w:top w:w="15" w:type="dxa"/>
            <w:left w:w="15" w:type="dxa"/>
            <w:bottom w:w="15" w:type="dxa"/>
            <w:right w:w="15" w:type="dxa"/>
          </w:tblCellMar>
        </w:tblPrEx>
        <w:trPr>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调味品</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盐</w:t>
            </w:r>
          </w:p>
        </w:tc>
        <w:tc>
          <w:tcPr>
            <w:tcW w:w="7116" w:type="dxa"/>
            <w:vMerge w:val="restart"/>
            <w:tcBorders>
              <w:top w:val="single" w:color="000000" w:sz="8" w:space="0"/>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标明产品品牌，必须符合调味品的国家现行标准，注明产品不同容量及包装的报价，提供产品检验检疫合格证。</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味精</w:t>
            </w:r>
          </w:p>
        </w:tc>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酱油</w:t>
            </w:r>
          </w:p>
        </w:tc>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食醋</w:t>
            </w:r>
          </w:p>
        </w:tc>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r>
      <w:tr>
        <w:tblPrEx>
          <w:tblCellMar>
            <w:top w:w="15" w:type="dxa"/>
            <w:left w:w="15" w:type="dxa"/>
            <w:bottom w:w="15" w:type="dxa"/>
            <w:right w:w="15" w:type="dxa"/>
          </w:tblCellMar>
        </w:tblPrEx>
        <w:trPr>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豆制品</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豆腐</w:t>
            </w:r>
          </w:p>
        </w:tc>
        <w:tc>
          <w:tcPr>
            <w:tcW w:w="7106" w:type="dxa"/>
            <w:vMerge w:val="restart"/>
            <w:tcBorders>
              <w:bottom w:val="nil"/>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富有弹性、带有豆香味；无粘手、发酸等情况。</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豆腐皮</w:t>
            </w:r>
          </w:p>
        </w:tc>
        <w:tc>
          <w:tcPr>
            <w:vMerge w:val="continue"/>
            <w:tcBorders>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r>
      <w:tr>
        <w:tblPrEx>
          <w:tblCellMar>
            <w:top w:w="15" w:type="dxa"/>
            <w:left w:w="15" w:type="dxa"/>
            <w:bottom w:w="15" w:type="dxa"/>
            <w:right w:w="15" w:type="dxa"/>
          </w:tblCellMar>
        </w:tblPrEx>
        <w:trPr>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干货</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黑木耳</w:t>
            </w: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条形大而完整,耳瓣舒展少卷曲，内厚黑，富于光泽,体干不霉,无杂质和碎粒。</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干香菇</w:t>
            </w: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干料干爽、不霉烂、朵小柄短、大小均匀、无虫蛀、无杂质、保持相应的色泽。</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粉丝</w:t>
            </w: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粉条细长,白净,晶莹透明、丝条均匀、整齐、干燥、不易手折断、无斑点、无黑迹、无霉变。</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紫菜</w:t>
            </w: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柔嫩微脆、叶薄、色紫清香鲜美。</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花椒</w:t>
            </w: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壳色红艳油润，果实开口而不含或少含籽粒，无枝干及杂质、无破碎污染。</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大料</w:t>
            </w: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色泽棕红，大小均匀，呈八角形，骨朵饱满干裂破碎和脱壳不超过10%。</w:t>
            </w:r>
          </w:p>
        </w:tc>
      </w:tr>
      <w:tr>
        <w:tblPrEx>
          <w:tblCellMar>
            <w:top w:w="15" w:type="dxa"/>
            <w:left w:w="15" w:type="dxa"/>
            <w:bottom w:w="15" w:type="dxa"/>
            <w:right w:w="15" w:type="dxa"/>
          </w:tblCellMar>
        </w:tblPrEx>
        <w:trPr>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禽蛋</w:t>
            </w:r>
          </w:p>
        </w:tc>
        <w:tc>
          <w:tcPr>
            <w:tcW w:w="1445"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鸡蛋</w:t>
            </w: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外观有层霜状粉末,壳表面比较粗糙,但有光泽；每斤7-9个；</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透光,呈桔红色,气室小而透亮,蛋黄轮廓完整清晰,无斑点；</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无异味，破损率小于1%；</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轻轻摇动鸡蛋时,听不到声音或感觉不到振动。</w:t>
            </w:r>
          </w:p>
        </w:tc>
      </w:tr>
      <w:tr>
        <w:tblPrEx>
          <w:tblCellMar>
            <w:top w:w="15" w:type="dxa"/>
            <w:left w:w="15" w:type="dxa"/>
            <w:bottom w:w="15" w:type="dxa"/>
            <w:right w:w="15" w:type="dxa"/>
          </w:tblCellMar>
        </w:tblPrEx>
        <w:trPr>
          <w:trHeight w:val="170" w:hRule="atLeast"/>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奶制品</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牛奶</w:t>
            </w:r>
          </w:p>
        </w:tc>
        <w:tc>
          <w:tcPr>
            <w:tcW w:w="7116"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符合国家GB2761-2017《食品安全国家标准 食品中真菌毒素限量》，GB2762-2017《食品安全国家标准 食品中污染物限量》，卫生部2011年第10号公告  《三聚氰胺在食品中的限量值》，GB19645-2010《食品安全国家标准  巴氏杀菌乳》。根据产地生产日期在七日或十五日以内。</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酸奶</w:t>
            </w:r>
          </w:p>
        </w:tc>
        <w:tc>
          <w:tcPr>
            <w:tcW w:w="7116"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符合国家GB2761-2017《食品安全国家标准 食品中真菌毒素限量》，GB2762-2017《食品安全国家标准 食品中污染物限量》，卫生部2011年第10号公告  《三聚氰胺在食品中的限量值》，GB19645-2010《食品安全国家标准  巴氏杀菌乳》。根据产地生产日期在三日或五日以内。</w:t>
            </w:r>
          </w:p>
        </w:tc>
      </w:tr>
    </w:tbl>
    <w:p>
      <w:pPr>
        <w:pStyle w:val="12"/>
        <w:spacing w:before="0" w:after="0" w:line="360" w:lineRule="auto"/>
        <w:ind w:left="0" w:right="0" w:firstLine="420"/>
        <w:jc w:val="both"/>
        <w:rPr>
          <w:sz w:val="21"/>
          <w:szCs w:val="21"/>
        </w:rPr>
      </w:pPr>
      <w:r>
        <w:rPr>
          <w:rFonts w:ascii="SimSun" w:hAnsi="SimSun" w:eastAsia="SimSun" w:cs="SimSun"/>
          <w:sz w:val="21"/>
          <w:szCs w:val="21"/>
        </w:rPr>
        <w:t>第二包：蔬菜类、水果类</w:t>
      </w:r>
    </w:p>
    <w:tbl>
      <w:tblPr>
        <w:tblStyle w:val="14"/>
        <w:tblW w:w="9367" w:type="dxa"/>
        <w:jc w:val="center"/>
        <w:tblCellSpacing w:w="0" w:type="dxa"/>
        <w:tblLayout w:type="autofit"/>
        <w:tblCellMar>
          <w:top w:w="15" w:type="dxa"/>
          <w:left w:w="15" w:type="dxa"/>
          <w:bottom w:w="15" w:type="dxa"/>
          <w:right w:w="15" w:type="dxa"/>
        </w:tblCellMar>
      </w:tblPr>
      <w:tblGrid>
        <w:gridCol w:w="1471"/>
        <w:gridCol w:w="1358"/>
        <w:gridCol w:w="6538"/>
      </w:tblGrid>
      <w:tr>
        <w:tblPrEx>
          <w:tblCellMar>
            <w:top w:w="15" w:type="dxa"/>
            <w:left w:w="15" w:type="dxa"/>
            <w:bottom w:w="15" w:type="dxa"/>
            <w:right w:w="15" w:type="dxa"/>
          </w:tblCellMar>
        </w:tblPrEx>
        <w:trPr>
          <w:trHeight w:val="482" w:hRule="atLeast"/>
          <w:tblCellSpacing w:w="0" w:type="dxa"/>
          <w:jc w:val="center"/>
        </w:trPr>
        <w:tc>
          <w:tcPr>
            <w:tcW w:w="1570"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原料分类</w:t>
            </w:r>
          </w:p>
        </w:tc>
        <w:tc>
          <w:tcPr>
            <w:tcW w:w="1445"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品名</w:t>
            </w:r>
          </w:p>
        </w:tc>
        <w:tc>
          <w:tcPr>
            <w:tcW w:w="7080"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质量标准</w:t>
            </w:r>
          </w:p>
        </w:tc>
      </w:tr>
      <w:tr>
        <w:tblPrEx>
          <w:tblCellMar>
            <w:top w:w="15" w:type="dxa"/>
            <w:left w:w="15" w:type="dxa"/>
            <w:bottom w:w="15" w:type="dxa"/>
            <w:right w:w="15" w:type="dxa"/>
          </w:tblCellMar>
        </w:tblPrEx>
        <w:trPr>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蔬菜类</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大白菜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新鲜洁白,表面无黑色斑点,里面无烂心、无开花、坏叶不超过4片。</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白萝卜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表皮光洁,无黑心、无空心,小的不低于0.5斤,大的不超过3斤。</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尖椒</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无异味,尾部新鲜、硬朗、硬而不青,长度不短于10公分。</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大头菜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1.5斤以上,无黄叶、虫叶、结实无烂心。</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蒜苔</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长而匀称、绿色鲜艳、无暗斑、尾部老硬不能超过1寸,没有冻伤(中间抽看,防冻烂）。</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红萝卜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直径2公分、长度1公寸,大而均匀、色泽鲜艳。</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豆角</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新鲜、长度40公分左右,长而结实,折断为实心、无虫。</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花菜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直径1公寸,洁白而无黑点斑点。</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西兰花</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表面蓓蕾平展,无开花、发黄现象，无异味臭味。</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冬瓜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个小、结实、检查表皮无松软感。</w:t>
            </w:r>
          </w:p>
        </w:tc>
      </w:tr>
      <w:tr>
        <w:tblPrEx>
          <w:tblCellMar>
            <w:top w:w="15" w:type="dxa"/>
            <w:left w:w="15" w:type="dxa"/>
            <w:bottom w:w="15" w:type="dxa"/>
            <w:right w:w="15" w:type="dxa"/>
          </w:tblCellMar>
        </w:tblPrEx>
        <w:trPr>
          <w:trHeight w:val="287"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生姜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个大、金黄色。</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丝瓜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头尾粗细较均匀,皮嫩、有弹力。</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西芹</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嫩绿色折断无筋,无烂心；棵大、杆长、节稀。</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土豆</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大而圆滑、无泥土伤疤、无发芽、无发绿。</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刺黄瓜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无腐烂、畸形、异味、机械伤，单体150—200克。</w:t>
            </w:r>
          </w:p>
        </w:tc>
      </w:tr>
      <w:tr>
        <w:tblPrEx>
          <w:tblCellMar>
            <w:top w:w="15" w:type="dxa"/>
            <w:left w:w="15" w:type="dxa"/>
            <w:bottom w:w="15" w:type="dxa"/>
            <w:right w:w="15" w:type="dxa"/>
          </w:tblCellMar>
        </w:tblPrEx>
        <w:trPr>
          <w:trHeight w:val="90" w:hRule="atLeast"/>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西红柿</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红而不软,硬而不青，单体150—250克。</w:t>
            </w:r>
          </w:p>
        </w:tc>
      </w:tr>
      <w:tr>
        <w:tblPrEx>
          <w:tblCellMar>
            <w:top w:w="15" w:type="dxa"/>
            <w:left w:w="15" w:type="dxa"/>
            <w:bottom w:w="15" w:type="dxa"/>
            <w:right w:w="15" w:type="dxa"/>
          </w:tblCellMar>
        </w:tblPrEx>
        <w:trPr>
          <w:trHeight w:val="170" w:hRule="atLeast"/>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水果类</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梨</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果形端正，大小均匀，无畸形果，带果柄；果面新鲜洁净，无刺划伤，无压痕，无病虫害；重身 结实，味道爽甜。</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苹果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具有本品种特有的外形，大小均匀，果面光滑有光泽，具有本品种应有的自然色泽；无斑点或极少果锈，不起皱，无裂口，无压痕及其他机械损伤和冻伤黑斑；果身重，硬朗；口感汁液饱满，无苦涩味，无木栓化组织。</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柑类</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果实大近似球形，无异状突起瘤、无病虫害所呈现的绿斑、黑斑，无霉烂，无机械伤，果面清新洁净，大小均匀，果实无萎蔫，色泽自然。</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桔类</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果实小而扁，大小均匀，果面新鲜光洁无裂口，无机械伤，无病斑及腐烂现象，果蒂完整平齐，易剥落，桔络少。</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橙类</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大小均匀，皮光滑并有光泽，手感重，无机械损伤。难剥离，果汁多，味可口，无萎蔫。</w:t>
            </w:r>
          </w:p>
        </w:tc>
      </w:tr>
      <w:tr>
        <w:tblPrEx>
          <w:tblCellMar>
            <w:top w:w="15" w:type="dxa"/>
            <w:left w:w="15" w:type="dxa"/>
            <w:bottom w:w="15" w:type="dxa"/>
            <w:right w:w="15" w:type="dxa"/>
          </w:tblCellMar>
        </w:tblPrEx>
        <w:trPr>
          <w:trHeight w:val="932"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柚类</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果实大，圆形或梨形，果皮厚达1cm，难剥离，酸甜合适，大小均匀。</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香蕉</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果实丰满，果形端正，梳柄完整，不缺只口，单果均匀；色泽自然、光亮；皮色青黄，果面光滑，无病黑斑，无虫疤，无霉菌，无创伤；果肉稍硬；果皮可剥或易剥。</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葡萄类</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具有本品种应具有的外形、色泽；果粒面完好，皮上无斑痕，果珠饱满，大小均匀；轻提果穗枝梗，微微抖动，果实不抖落或抖落极少。</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桃类</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具有本品种应有的外形及色泽，大小均匀，果形端正，果面无不正常斑点，无裂口及其他机械损伤，无腐烂，无病虫害，无药害，无破皮。</w:t>
            </w:r>
          </w:p>
        </w:tc>
      </w:tr>
      <w:tr>
        <w:tblPrEx>
          <w:tblCellMar>
            <w:top w:w="15" w:type="dxa"/>
            <w:left w:w="15" w:type="dxa"/>
            <w:bottom w:w="15" w:type="dxa"/>
            <w:right w:w="15" w:type="dxa"/>
          </w:tblCellMar>
        </w:tblPrEx>
        <w:trPr>
          <w:trHeight w:val="170" w:hRule="atLeast"/>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瓜类</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西瓜类</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具有本品种应有的形状，大小均匀，成熟，果色清新光亮，条纹清晰，果皮无伤痕，无水份腐烂，无干疤，无虫眼，无病斑，果柄茸毛脱落，脐部凹陷，水份大，甜度高，切开鲜艳光泽，无异味及黑瓤。</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哈密瓜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瓜形端正，呈椭圆或橄榄形。瓜身坚实微软，果皮无伤及其无腐烂，切开色泽鲜艳光润，大小均匀，香气浓郁。</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香瓜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外形完整良好，新鲜洁净，果身坚实，果面无裂痕、腐烂、水分、病虫害、药害，大小均匀。</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白兰瓜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外形端正，大小均匀，绿色全部消退，阳面呈白色，着地处呈鲜黄，瓜面光滑细腻，手弹微有弹性，无任何损伤。</w:t>
            </w:r>
          </w:p>
        </w:tc>
      </w:tr>
      <w:tr>
        <w:tblPrEx>
          <w:tblCellMar>
            <w:top w:w="15" w:type="dxa"/>
            <w:left w:w="15" w:type="dxa"/>
            <w:bottom w:w="15" w:type="dxa"/>
            <w:right w:w="15" w:type="dxa"/>
          </w:tblCellMar>
        </w:tblPrEx>
        <w:trPr>
          <w:trHeight w:val="544" w:hRule="atLeast"/>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其他</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板栗</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果粒个大、均匀、饱满，手捏时坚实不塌瘪，皮色呈红、褐等色,具有光泽。果面无虫蛀，无风干，无腐烂，无破损，无裂嘴。</w:t>
            </w:r>
          </w:p>
        </w:tc>
      </w:tr>
      <w:tr>
        <w:tblPrEx>
          <w:tblCellMar>
            <w:top w:w="15" w:type="dxa"/>
            <w:left w:w="15" w:type="dxa"/>
            <w:bottom w:w="15" w:type="dxa"/>
            <w:right w:w="15" w:type="dxa"/>
          </w:tblCellMar>
        </w:tblPrEx>
        <w:trPr>
          <w:trHeight w:val="9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火龙果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果面火红有光泽，叶片青，果实坚实。无腐烂，无软塌，无皱缩，大小均匀。</w:t>
            </w:r>
          </w:p>
        </w:tc>
      </w:tr>
      <w:tr>
        <w:tblPrEx>
          <w:tblCellMar>
            <w:top w:w="15" w:type="dxa"/>
            <w:left w:w="15" w:type="dxa"/>
            <w:bottom w:w="15" w:type="dxa"/>
            <w:right w:w="15" w:type="dxa"/>
          </w:tblCellMar>
        </w:tblPrEx>
        <w:trPr>
          <w:trHeight w:val="346"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草莓</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色泽鲜红、水灵，无烂斑，无病虫害及其它伤害，大小均匀，蒂部有青色。</w:t>
            </w:r>
          </w:p>
        </w:tc>
      </w:tr>
      <w:tr>
        <w:tblPrEx>
          <w:tblCellMar>
            <w:top w:w="15" w:type="dxa"/>
            <w:left w:w="15" w:type="dxa"/>
            <w:bottom w:w="15" w:type="dxa"/>
            <w:right w:w="15" w:type="dxa"/>
          </w:tblCellMar>
        </w:tblPrEx>
        <w:trPr>
          <w:trHeight w:val="1245"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红枣</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具有本品种应有的特征，大枣鲜红或深紫，小枣红中带黄，有光泽，果面清洁，无霉烂，无病虫，无破损，手捏手感紧实、不粘，无霉味，无酒味，无腐败味，无苦味。</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荔枝</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果皮鲜红，稍带紫色；果肉透明、爽口、甜度适中，无裂果，无腐烂，无病虫害，无药害及其它伤害，大小均匀。</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菠萝</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外形完整良好，新鲜洁净，无异常气味或滋味。果身坚实，无潮湿溢汁、溢胶；无霜害，无日烧，无腐烂，无药害及其它伤害。</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桂圆</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果色棕黄，果粒均匀，果身较平滑有光泽，果肉不粘手，易剥落，有韧性；无霉烂，无黑斑。</w:t>
            </w:r>
          </w:p>
        </w:tc>
      </w:tr>
    </w:tbl>
    <w:p>
      <w:pPr>
        <w:pStyle w:val="12"/>
        <w:spacing w:before="0" w:after="0" w:line="360" w:lineRule="auto"/>
        <w:ind w:left="0" w:right="0" w:firstLine="420"/>
        <w:jc w:val="both"/>
        <w:rPr>
          <w:sz w:val="21"/>
          <w:szCs w:val="21"/>
        </w:rPr>
      </w:pPr>
      <w:r>
        <w:rPr>
          <w:rFonts w:ascii="SimSun" w:hAnsi="SimSun" w:eastAsia="SimSun" w:cs="SimSun"/>
          <w:sz w:val="21"/>
          <w:szCs w:val="21"/>
        </w:rPr>
        <w:t>第三包：肉产品类、水产品类</w:t>
      </w:r>
    </w:p>
    <w:tbl>
      <w:tblPr>
        <w:tblStyle w:val="14"/>
        <w:tblW w:w="0" w:type="auto"/>
        <w:jc w:val="center"/>
        <w:tblCellSpacing w:w="0" w:type="dxa"/>
        <w:tblLayout w:type="autofit"/>
        <w:tblCellMar>
          <w:top w:w="15" w:type="dxa"/>
          <w:left w:w="15" w:type="dxa"/>
          <w:bottom w:w="15" w:type="dxa"/>
          <w:right w:w="15" w:type="dxa"/>
        </w:tblCellMar>
      </w:tblPr>
      <w:tblGrid>
        <w:gridCol w:w="1601"/>
        <w:gridCol w:w="1359"/>
        <w:gridCol w:w="6342"/>
      </w:tblGrid>
      <w:tr>
        <w:tblPrEx>
          <w:tblCellMar>
            <w:top w:w="15" w:type="dxa"/>
            <w:left w:w="15" w:type="dxa"/>
            <w:bottom w:w="15" w:type="dxa"/>
            <w:right w:w="15" w:type="dxa"/>
          </w:tblCellMar>
        </w:tblPrEx>
        <w:trPr>
          <w:trHeight w:val="482" w:hRule="atLeast"/>
          <w:tblCellSpacing w:w="0" w:type="dxa"/>
          <w:jc w:val="center"/>
        </w:trPr>
        <w:tc>
          <w:tcPr>
            <w:tcW w:w="1690"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原料分类</w:t>
            </w:r>
          </w:p>
        </w:tc>
        <w:tc>
          <w:tcPr>
            <w:tcW w:w="1445"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品名</w:t>
            </w:r>
          </w:p>
        </w:tc>
        <w:tc>
          <w:tcPr>
            <w:tcW w:w="6900"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质量标准</w:t>
            </w:r>
          </w:p>
        </w:tc>
      </w:tr>
      <w:tr>
        <w:tblPrEx>
          <w:tblCellMar>
            <w:top w:w="15" w:type="dxa"/>
            <w:left w:w="15" w:type="dxa"/>
            <w:bottom w:w="15" w:type="dxa"/>
            <w:right w:w="15" w:type="dxa"/>
          </w:tblCellMar>
        </w:tblPrEx>
        <w:trPr>
          <w:trHeight w:val="482" w:hRule="atLeast"/>
          <w:tblCellSpacing w:w="0" w:type="dxa"/>
          <w:jc w:val="center"/>
        </w:trPr>
        <w:tc>
          <w:tcPr>
            <w:tcW w:w="169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肉类</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带皮猪肉</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猪皮干净无猪毛，猪肉肥瘦均匀,颜色要鲜艳。</w:t>
            </w:r>
          </w:p>
        </w:tc>
      </w:tr>
      <w:tr>
        <w:tblPrEx>
          <w:tblCellMar>
            <w:top w:w="15" w:type="dxa"/>
            <w:left w:w="15" w:type="dxa"/>
            <w:bottom w:w="15" w:type="dxa"/>
            <w:right w:w="15" w:type="dxa"/>
          </w:tblCellMar>
        </w:tblPrEx>
        <w:trPr>
          <w:trHeight w:val="482"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精肉</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肉质紧密无淋巴瘤，色泽新鲜有弹性、无杂质、无异味。</w:t>
            </w:r>
          </w:p>
        </w:tc>
      </w:tr>
      <w:tr>
        <w:tblPrEx>
          <w:tblCellMar>
            <w:top w:w="15" w:type="dxa"/>
            <w:left w:w="15" w:type="dxa"/>
            <w:bottom w:w="15" w:type="dxa"/>
            <w:right w:w="15" w:type="dxa"/>
          </w:tblCellMar>
        </w:tblPrEx>
        <w:trPr>
          <w:trHeight w:val="482"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肉馅</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肉色要好，不能有淤血、淋巴瘤。</w:t>
            </w:r>
          </w:p>
        </w:tc>
      </w:tr>
      <w:tr>
        <w:tblPrEx>
          <w:tblCellMar>
            <w:top w:w="15" w:type="dxa"/>
            <w:left w:w="15" w:type="dxa"/>
            <w:bottom w:w="15" w:type="dxa"/>
            <w:right w:w="15" w:type="dxa"/>
          </w:tblCellMar>
        </w:tblPrEx>
        <w:trPr>
          <w:trHeight w:val="482" w:hRule="atLeast"/>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净猪蹄</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新鲜无毛、前蹄带筋、大小均匀。</w:t>
            </w:r>
          </w:p>
        </w:tc>
      </w:tr>
      <w:tr>
        <w:tblPrEx>
          <w:tblCellMar>
            <w:top w:w="15" w:type="dxa"/>
            <w:left w:w="15" w:type="dxa"/>
            <w:bottom w:w="15" w:type="dxa"/>
            <w:right w:w="15" w:type="dxa"/>
          </w:tblCellMar>
        </w:tblPrEx>
        <w:trPr>
          <w:trHeight w:val="482" w:hRule="atLeast"/>
          <w:tblCellSpacing w:w="0" w:type="dxa"/>
          <w:jc w:val="center"/>
        </w:trPr>
        <w:tc>
          <w:tcPr>
            <w:tcW w:w="169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牛产品类、羊产品类、家禽类</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羊肉</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肉色泽新鲜有弹性、肉质紧密、无注水。</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牛肉</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肉色泽新鲜有弹性、肉质紧密、无注水。</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鸡上腿</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单冰无毛、无於血、每个100克左右。</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翅中</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单冰无毛、无於血、每斤8个大小均匀。</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翅根</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单冰无毛、无於血、每斤8个大小均匀。</w:t>
            </w:r>
          </w:p>
        </w:tc>
      </w:tr>
      <w:tr>
        <w:tblPrEx>
          <w:tblCellMar>
            <w:top w:w="15" w:type="dxa"/>
            <w:left w:w="15" w:type="dxa"/>
            <w:bottom w:w="15" w:type="dxa"/>
            <w:right w:w="15" w:type="dxa"/>
          </w:tblCellMar>
        </w:tblPrEx>
        <w:trPr>
          <w:tblCellSpacing w:w="0" w:type="dxa"/>
          <w:jc w:val="center"/>
        </w:trPr>
        <w:tc>
          <w:tcPr>
            <w:tcW w:w="2899" w:type="dxa"/>
            <w:gridSpan w:val="2"/>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鱼</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鲜鱼眼睛凸起,澄清有光泽。</w:t>
            </w:r>
          </w:p>
        </w:tc>
      </w:tr>
      <w:tr>
        <w:tblPrEx>
          <w:tblCellMar>
            <w:top w:w="15" w:type="dxa"/>
            <w:left w:w="15" w:type="dxa"/>
            <w:bottom w:w="15" w:type="dxa"/>
            <w:right w:w="15" w:type="dxa"/>
          </w:tblCellMar>
        </w:tblPrEx>
        <w:trPr>
          <w:tblCellSpacing w:w="0" w:type="dxa"/>
          <w:jc w:val="center"/>
        </w:trPr>
        <w:tc>
          <w:tcPr>
            <w:gridSpan w:val="2"/>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鲜鱼鳃紧闭,鳃片呈鲜红色,无黏液和污物。</w:t>
            </w:r>
          </w:p>
        </w:tc>
      </w:tr>
      <w:tr>
        <w:tblPrEx>
          <w:tblCellMar>
            <w:top w:w="15" w:type="dxa"/>
            <w:left w:w="15" w:type="dxa"/>
            <w:bottom w:w="15" w:type="dxa"/>
            <w:right w:w="15" w:type="dxa"/>
          </w:tblCellMar>
        </w:tblPrEx>
        <w:trPr>
          <w:tblCellSpacing w:w="0" w:type="dxa"/>
          <w:jc w:val="center"/>
        </w:trPr>
        <w:tc>
          <w:tcPr>
            <w:gridSpan w:val="2"/>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新鲜的鳞片整齐,排列紧密,有黏液和光泽,轮层明显。</w:t>
            </w:r>
          </w:p>
        </w:tc>
      </w:tr>
      <w:tr>
        <w:tblPrEx>
          <w:tblCellMar>
            <w:top w:w="15" w:type="dxa"/>
            <w:left w:w="15" w:type="dxa"/>
            <w:bottom w:w="15" w:type="dxa"/>
            <w:right w:w="15" w:type="dxa"/>
          </w:tblCellMar>
        </w:tblPrEx>
        <w:trPr>
          <w:tblCellSpacing w:w="0" w:type="dxa"/>
          <w:jc w:val="center"/>
        </w:trPr>
        <w:tc>
          <w:tcPr>
            <w:tcW w:w="2899" w:type="dxa"/>
            <w:gridSpan w:val="2"/>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活虾</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外表:新鲜的虾头尾完整,有一定的弯曲度、虾身较挺；</w:t>
            </w:r>
          </w:p>
        </w:tc>
      </w:tr>
      <w:tr>
        <w:tblPrEx>
          <w:tblCellMar>
            <w:top w:w="15" w:type="dxa"/>
            <w:left w:w="15" w:type="dxa"/>
            <w:bottom w:w="15" w:type="dxa"/>
            <w:right w:w="15" w:type="dxa"/>
          </w:tblCellMar>
        </w:tblPrEx>
        <w:trPr>
          <w:tblCellSpacing w:w="0" w:type="dxa"/>
          <w:jc w:val="center"/>
        </w:trPr>
        <w:tc>
          <w:tcPr>
            <w:gridSpan w:val="2"/>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色泽:新鲜的虾皮壳发亮,呈青白色；</w:t>
            </w:r>
          </w:p>
        </w:tc>
      </w:tr>
      <w:tr>
        <w:tblPrEx>
          <w:tblCellMar>
            <w:top w:w="15" w:type="dxa"/>
            <w:left w:w="15" w:type="dxa"/>
            <w:bottom w:w="15" w:type="dxa"/>
            <w:right w:w="15" w:type="dxa"/>
          </w:tblCellMar>
        </w:tblPrEx>
        <w:trPr>
          <w:tblCellSpacing w:w="0" w:type="dxa"/>
          <w:jc w:val="center"/>
        </w:trPr>
        <w:tc>
          <w:tcPr>
            <w:gridSpan w:val="2"/>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肉质:新鲜虾肉质坚实、细嫩。</w:t>
            </w:r>
          </w:p>
        </w:tc>
      </w:tr>
      <w:tr>
        <w:tblPrEx>
          <w:tblCellMar>
            <w:top w:w="15" w:type="dxa"/>
            <w:left w:w="15" w:type="dxa"/>
            <w:bottom w:w="15" w:type="dxa"/>
            <w:right w:w="15" w:type="dxa"/>
          </w:tblCellMar>
        </w:tblPrEx>
        <w:trPr>
          <w:tblCellSpacing w:w="0" w:type="dxa"/>
          <w:jc w:val="center"/>
        </w:trPr>
        <w:tc>
          <w:tcPr>
            <w:tcW w:w="2899" w:type="dxa"/>
            <w:gridSpan w:val="2"/>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冰冻虾</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应选择体型完整,外壳透明光亮,体表呈青白色或青绿色,头节与躯体紧连,肉体硬实而有韧性,须足无损蹯足卷体,体表无污秽黏附,无异常气味。</w:t>
            </w:r>
          </w:p>
        </w:tc>
      </w:tr>
      <w:tr>
        <w:tblPrEx>
          <w:tblCellMar>
            <w:top w:w="15" w:type="dxa"/>
            <w:left w:w="15" w:type="dxa"/>
            <w:bottom w:w="15" w:type="dxa"/>
            <w:right w:w="15" w:type="dxa"/>
          </w:tblCellMar>
        </w:tblPrEx>
        <w:trPr>
          <w:tblCellSpacing w:w="0" w:type="dxa"/>
          <w:jc w:val="center"/>
        </w:trPr>
        <w:tc>
          <w:tcPr>
            <w:tcW w:w="2899" w:type="dxa"/>
            <w:gridSpan w:val="2"/>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虾仁</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冻虾仁的外包装完整、清洁,虾仁肉质清洁、完整,呈淡青色或乳白色。</w:t>
            </w:r>
          </w:p>
        </w:tc>
      </w:tr>
      <w:tr>
        <w:tblPrEx>
          <w:tblCellMar>
            <w:top w:w="15" w:type="dxa"/>
            <w:left w:w="15" w:type="dxa"/>
            <w:bottom w:w="15" w:type="dxa"/>
            <w:right w:w="15" w:type="dxa"/>
          </w:tblCellMar>
        </w:tblPrEx>
        <w:trPr>
          <w:tblCellSpacing w:w="0" w:type="dxa"/>
          <w:jc w:val="center"/>
        </w:trPr>
        <w:tc>
          <w:tcPr>
            <w:tcW w:w="2899" w:type="dxa"/>
            <w:gridSpan w:val="2"/>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贝类</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壳要无破损和病灶；外壳光洁亮泽；肌肉紧密有弹性。</w:t>
            </w:r>
          </w:p>
        </w:tc>
      </w:tr>
    </w:tbl>
    <w:p>
      <w:pPr>
        <w:pStyle w:val="12"/>
        <w:spacing w:before="0" w:after="0" w:line="360" w:lineRule="auto"/>
        <w:ind w:left="0" w:right="0" w:firstLine="420"/>
        <w:jc w:val="both"/>
        <w:rPr>
          <w:sz w:val="21"/>
          <w:szCs w:val="21"/>
        </w:rPr>
      </w:pPr>
      <w:r>
        <w:rPr>
          <w:rFonts w:ascii="SimSun" w:hAnsi="SimSun" w:eastAsia="SimSun" w:cs="SimSun"/>
          <w:sz w:val="21"/>
          <w:szCs w:val="21"/>
        </w:rPr>
        <w:t>以上为部分原材料明细，包括但不限于此，若提供的原材料未在明细中体现，按照国家质量检测标准、环保标准、出厂标准及相关行业标准供货。</w:t>
      </w:r>
    </w:p>
    <w:p>
      <w:pPr>
        <w:pStyle w:val="5"/>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1.2.3.2实施时间要求</w:t>
      </w:r>
    </w:p>
    <w:p>
      <w:pPr>
        <w:spacing w:before="0" w:after="0" w:line="360" w:lineRule="auto"/>
        <w:jc w:val="both"/>
        <w:rPr>
          <w:rFonts w:ascii="Times New Roman" w:hAnsi="Times New Roman" w:eastAsia="Times New Roman" w:cs="Times New Roman"/>
        </w:rPr>
      </w:pPr>
      <w:r>
        <w:rPr>
          <w:rFonts w:ascii="SimSun" w:hAnsi="SimSun" w:eastAsia="SimSun" w:cs="SimSun"/>
          <w:sz w:val="21"/>
          <w:szCs w:val="21"/>
        </w:rPr>
        <w:t>2026年12月13日至2027年12月12日</w:t>
      </w:r>
    </w:p>
    <w:p>
      <w:pPr>
        <w:pStyle w:val="5"/>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1.2.3.3实施地点要求</w:t>
      </w:r>
    </w:p>
    <w:p>
      <w:pPr>
        <w:spacing w:before="0" w:after="0" w:line="360" w:lineRule="auto"/>
        <w:jc w:val="both"/>
        <w:rPr>
          <w:rFonts w:ascii="Times New Roman" w:hAnsi="Times New Roman" w:eastAsia="Times New Roman" w:cs="Times New Roman"/>
        </w:rPr>
      </w:pPr>
      <w:r>
        <w:rPr>
          <w:rFonts w:ascii="SimSun" w:hAnsi="SimSun" w:eastAsia="SimSun" w:cs="SimSun"/>
          <w:sz w:val="21"/>
          <w:szCs w:val="21"/>
        </w:rPr>
        <w:t>平度市人民路75号及国家税务总局平度市税务局指定的其他地点</w:t>
      </w:r>
    </w:p>
    <w:p>
      <w:pPr>
        <w:pStyle w:val="3"/>
        <w:keepNext w:val="0"/>
        <w:spacing w:before="0" w:after="0" w:line="360" w:lineRule="auto"/>
        <w:rPr>
          <w:rFonts w:ascii="仿宋_GB2312" w:hAnsi="仿宋_GB2312" w:eastAsia="仿宋_GB2312" w:cs="仿宋_GB2312"/>
          <w:b/>
          <w:bCs/>
          <w:sz w:val="28"/>
          <w:szCs w:val="28"/>
        </w:rPr>
      </w:pPr>
      <w:bookmarkStart w:id="9" w:name="_Toc256000007"/>
      <w:r>
        <w:rPr>
          <w:rFonts w:ascii="仿宋_GB2312" w:hAnsi="仿宋_GB2312" w:eastAsia="仿宋_GB2312" w:cs="仿宋_GB2312"/>
          <w:i w:val="0"/>
          <w:iCs w:val="0"/>
        </w:rPr>
        <w:t>1.3其他要求</w:t>
      </w:r>
      <w:bookmarkEnd w:id="9"/>
    </w:p>
    <w:p>
      <w:pPr>
        <w:pStyle w:val="2"/>
        <w:keepNext w:val="0"/>
        <w:spacing w:before="0" w:after="0" w:line="360" w:lineRule="auto"/>
        <w:jc w:val="center"/>
        <w:rPr>
          <w:rFonts w:ascii="仿宋_GB2312" w:hAnsi="仿宋_GB2312" w:eastAsia="仿宋_GB2312" w:cs="仿宋_GB2312"/>
          <w:b/>
          <w:bCs/>
          <w:sz w:val="32"/>
          <w:szCs w:val="32"/>
        </w:rPr>
      </w:pPr>
      <w:bookmarkStart w:id="10" w:name="_Toc256000008"/>
      <w:r>
        <w:rPr>
          <w:rFonts w:ascii="仿宋_GB2312" w:hAnsi="仿宋_GB2312" w:eastAsia="仿宋_GB2312" w:cs="仿宋_GB2312"/>
          <w:kern w:val="36"/>
        </w:rPr>
        <w:t>2投标/响应要求</w:t>
      </w:r>
      <w:bookmarkEnd w:id="10"/>
    </w:p>
    <w:p>
      <w:pPr>
        <w:pStyle w:val="3"/>
        <w:keepNext w:val="0"/>
        <w:spacing w:before="0" w:after="0" w:line="360" w:lineRule="auto"/>
        <w:rPr>
          <w:rFonts w:ascii="仿宋_GB2312" w:hAnsi="仿宋_GB2312" w:eastAsia="仿宋_GB2312" w:cs="仿宋_GB2312"/>
          <w:b/>
          <w:bCs/>
          <w:sz w:val="28"/>
          <w:szCs w:val="28"/>
        </w:rPr>
      </w:pPr>
      <w:bookmarkStart w:id="11" w:name="_Toc256000009"/>
      <w:r>
        <w:rPr>
          <w:rFonts w:ascii="仿宋_GB2312" w:hAnsi="仿宋_GB2312" w:eastAsia="仿宋_GB2312" w:cs="仿宋_GB2312"/>
          <w:i w:val="0"/>
          <w:iCs w:val="0"/>
        </w:rPr>
        <w:t>2.1对供应商的要求</w:t>
      </w:r>
      <w:bookmarkEnd w:id="11"/>
    </w:p>
    <w:p>
      <w:pPr>
        <w:pStyle w:val="4"/>
        <w:keepNext w:val="0"/>
        <w:spacing w:before="0" w:after="0" w:line="360" w:lineRule="auto"/>
        <w:rPr>
          <w:rFonts w:ascii="仿宋_GB2312" w:hAnsi="仿宋_GB2312" w:eastAsia="仿宋_GB2312" w:cs="仿宋_GB2312"/>
          <w:b/>
          <w:bCs/>
          <w:sz w:val="28"/>
          <w:szCs w:val="28"/>
        </w:rPr>
      </w:pPr>
      <w:bookmarkStart w:id="12" w:name="_Toc256000010"/>
      <w:r>
        <w:rPr>
          <w:rFonts w:ascii="仿宋_GB2312" w:hAnsi="仿宋_GB2312" w:eastAsia="仿宋_GB2312" w:cs="仿宋_GB2312"/>
          <w:sz w:val="28"/>
          <w:szCs w:val="28"/>
        </w:rPr>
        <w:t>2.1.1必备资质</w:t>
      </w:r>
      <w:bookmarkEnd w:id="12"/>
    </w:p>
    <w:p>
      <w:pPr>
        <w:pStyle w:val="5"/>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2.1.1.1投标人应遵守有关国家法律、法规和条例,具备《中华人民共和国政府采购法》第二十二条的规定和本文件中规定的条件。</w:t>
      </w:r>
    </w:p>
    <w:p>
      <w:pPr>
        <w:pStyle w:val="5"/>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2.1.1.2本项目的特定资格要求</w:t>
      </w:r>
    </w:p>
    <w:p>
      <w:pPr>
        <w:pStyle w:val="13"/>
        <w:spacing w:before="0" w:after="0" w:line="360" w:lineRule="auto"/>
        <w:ind w:firstLine="482"/>
        <w:rPr>
          <w:rFonts w:ascii="Times New Roman" w:hAnsi="Times New Roman" w:eastAsia="Times New Roman" w:cs="Times New Roman"/>
        </w:rPr>
      </w:pPr>
      <w:r>
        <w:rPr>
          <w:rFonts w:ascii="SimSun" w:hAnsi="SimSun" w:eastAsia="SimSun" w:cs="SimSun"/>
          <w:sz w:val="21"/>
          <w:szCs w:val="21"/>
        </w:rPr>
        <w:t>（一）落实政府采购政策需满足的资格要求：本项目第2、3包专门面向中小企业采购的项目，监狱企业或残疾人福利性单位，视同小微企业。</w:t>
      </w:r>
    </w:p>
    <w:p>
      <w:pPr>
        <w:pStyle w:val="13"/>
        <w:spacing w:before="0" w:after="0" w:line="360" w:lineRule="auto"/>
        <w:ind w:firstLine="482"/>
        <w:rPr>
          <w:rFonts w:ascii="Times New Roman" w:hAnsi="Times New Roman" w:eastAsia="Times New Roman" w:cs="Times New Roman"/>
        </w:rPr>
      </w:pPr>
      <w:r>
        <w:rPr>
          <w:rFonts w:ascii="SimSun" w:hAnsi="SimSun" w:eastAsia="SimSun" w:cs="SimSun"/>
          <w:sz w:val="21"/>
          <w:szCs w:val="21"/>
        </w:rPr>
        <w:t>（二）本项目的特定资格要求</w:t>
      </w:r>
    </w:p>
    <w:p>
      <w:pPr>
        <w:pStyle w:val="13"/>
        <w:spacing w:before="0" w:after="0" w:line="360" w:lineRule="auto"/>
        <w:ind w:firstLine="482"/>
        <w:rPr>
          <w:rFonts w:ascii="Times New Roman" w:hAnsi="Times New Roman" w:eastAsia="Times New Roman" w:cs="Times New Roman"/>
        </w:rPr>
      </w:pPr>
      <w:r>
        <w:rPr>
          <w:rFonts w:ascii="SimSun" w:hAnsi="SimSun" w:eastAsia="SimSun" w:cs="SimSun"/>
          <w:sz w:val="21"/>
          <w:szCs w:val="21"/>
        </w:rPr>
        <w:t>1.投标人在本项目招标公告发布之日前三年内无行贿犯罪等重大违法记录；</w:t>
      </w:r>
    </w:p>
    <w:p>
      <w:pPr>
        <w:pStyle w:val="13"/>
        <w:spacing w:before="0" w:after="0" w:line="360" w:lineRule="auto"/>
        <w:ind w:firstLine="482"/>
        <w:rPr>
          <w:rFonts w:ascii="Times New Roman" w:hAnsi="Times New Roman" w:eastAsia="Times New Roman" w:cs="Times New Roman"/>
        </w:rPr>
      </w:pPr>
      <w:r>
        <w:rPr>
          <w:rFonts w:ascii="SimSun" w:hAnsi="SimSun" w:eastAsia="SimSun" w:cs="SimSun"/>
          <w:sz w:val="21"/>
          <w:szCs w:val="21"/>
        </w:rPr>
        <w:t>2.第1包投标人具有食品生产许可证或食品经营许可证（证书须在有效期内）；</w:t>
      </w:r>
    </w:p>
    <w:p>
      <w:pPr>
        <w:pStyle w:val="13"/>
        <w:spacing w:before="0" w:after="0" w:line="360" w:lineRule="auto"/>
        <w:ind w:firstLine="482"/>
        <w:rPr>
          <w:rFonts w:ascii="Times New Roman" w:hAnsi="Times New Roman" w:eastAsia="Times New Roman" w:cs="Times New Roman"/>
        </w:rPr>
      </w:pPr>
      <w:r>
        <w:rPr>
          <w:rFonts w:ascii="SimSun" w:hAnsi="SimSun" w:eastAsia="SimSun" w:cs="SimSun"/>
          <w:sz w:val="21"/>
          <w:szCs w:val="21"/>
        </w:rPr>
        <w:t>3.投标人为具有生产加工或供货能力的生产商或经销商。投标人是生产商的，须具有动物防疫条件合格证；投标人是经销商的，其生产商须具有动物防疫条件合格证（适用于第1包、第3包）；</w:t>
      </w:r>
    </w:p>
    <w:p>
      <w:pPr>
        <w:pStyle w:val="13"/>
        <w:spacing w:before="0" w:after="0" w:line="360" w:lineRule="auto"/>
        <w:ind w:firstLine="482"/>
        <w:rPr>
          <w:rFonts w:ascii="Times New Roman" w:hAnsi="Times New Roman" w:eastAsia="Times New Roman" w:cs="Times New Roman"/>
        </w:rPr>
      </w:pPr>
      <w:r>
        <w:rPr>
          <w:rFonts w:ascii="SimSun" w:hAnsi="SimSun" w:eastAsia="SimSun" w:cs="SimSun"/>
          <w:sz w:val="21"/>
          <w:szCs w:val="21"/>
        </w:rPr>
        <w:t>4.通过“信用中国（www.creditchina.gov.cn）”、“中国政府采购网（www.ccgp.gov.cn）”查询，未被列入失信被执行人、重大税收违法案件当事人、政府采购严重违法失信行为记录等名单的；</w:t>
      </w:r>
    </w:p>
    <w:p>
      <w:pPr>
        <w:pStyle w:val="13"/>
        <w:spacing w:before="0" w:after="0" w:line="360" w:lineRule="auto"/>
        <w:ind w:firstLine="482"/>
        <w:rPr>
          <w:rFonts w:ascii="Times New Roman" w:hAnsi="Times New Roman" w:eastAsia="Times New Roman" w:cs="Times New Roman"/>
        </w:rPr>
      </w:pPr>
      <w:r>
        <w:rPr>
          <w:rFonts w:ascii="SimSun" w:hAnsi="SimSun" w:eastAsia="SimSun" w:cs="SimSun"/>
          <w:sz w:val="21"/>
          <w:szCs w:val="21"/>
        </w:rPr>
        <w:t>5.单位负责人为同一人或者存在直接控股、管理关系的不同单位，不得参加同一招标项目的投标；</w:t>
      </w:r>
    </w:p>
    <w:p>
      <w:pPr>
        <w:pStyle w:val="13"/>
        <w:spacing w:before="0" w:after="0" w:line="360" w:lineRule="auto"/>
        <w:ind w:firstLine="482"/>
        <w:rPr>
          <w:rFonts w:ascii="Times New Roman" w:hAnsi="Times New Roman" w:eastAsia="Times New Roman" w:cs="Times New Roman"/>
        </w:rPr>
      </w:pPr>
      <w:r>
        <w:rPr>
          <w:rFonts w:ascii="SimSun" w:hAnsi="SimSun" w:eastAsia="SimSun" w:cs="SimSun"/>
          <w:sz w:val="21"/>
          <w:szCs w:val="21"/>
        </w:rPr>
        <w:t>6.本项目不接受联合体投标。</w:t>
      </w:r>
    </w:p>
    <w:p>
      <w:pPr>
        <w:pStyle w:val="4"/>
        <w:keepNext w:val="0"/>
        <w:spacing w:before="0" w:after="0" w:line="360" w:lineRule="auto"/>
        <w:rPr>
          <w:rFonts w:ascii="仿宋_GB2312" w:hAnsi="仿宋_GB2312" w:eastAsia="仿宋_GB2312" w:cs="仿宋_GB2312"/>
          <w:b/>
          <w:bCs/>
          <w:sz w:val="28"/>
          <w:szCs w:val="28"/>
        </w:rPr>
      </w:pPr>
      <w:bookmarkStart w:id="13" w:name="_Toc256000011"/>
      <w:r>
        <w:rPr>
          <w:rFonts w:ascii="仿宋_GB2312" w:hAnsi="仿宋_GB2312" w:eastAsia="仿宋_GB2312" w:cs="仿宋_GB2312"/>
          <w:sz w:val="28"/>
          <w:szCs w:val="28"/>
        </w:rPr>
        <w:t>2.1.2优选资质/优选指标</w:t>
      </w:r>
      <w:bookmarkEnd w:id="13"/>
    </w:p>
    <w:p>
      <w:pPr>
        <w:pStyle w:val="4"/>
        <w:keepNext w:val="0"/>
        <w:spacing w:before="0" w:after="0" w:line="360" w:lineRule="auto"/>
        <w:rPr>
          <w:rFonts w:ascii="仿宋_GB2312" w:hAnsi="仿宋_GB2312" w:eastAsia="仿宋_GB2312" w:cs="仿宋_GB2312"/>
          <w:b/>
          <w:bCs/>
          <w:sz w:val="28"/>
          <w:szCs w:val="28"/>
        </w:rPr>
      </w:pPr>
      <w:bookmarkStart w:id="14" w:name="_Toc256000012"/>
      <w:r>
        <w:rPr>
          <w:rFonts w:ascii="仿宋_GB2312" w:hAnsi="仿宋_GB2312" w:eastAsia="仿宋_GB2312" w:cs="仿宋_GB2312"/>
          <w:sz w:val="28"/>
          <w:szCs w:val="28"/>
        </w:rPr>
        <w:t>2.1.3是否允许联合体</w:t>
      </w:r>
      <w:bookmarkEnd w:id="14"/>
    </w:p>
    <w:p>
      <w:pPr>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否</w:t>
      </w:r>
    </w:p>
    <w:p>
      <w:pPr>
        <w:pStyle w:val="4"/>
        <w:keepNext w:val="0"/>
        <w:spacing w:before="0" w:after="0" w:line="360" w:lineRule="auto"/>
        <w:rPr>
          <w:rFonts w:ascii="仿宋_GB2312" w:hAnsi="仿宋_GB2312" w:eastAsia="仿宋_GB2312" w:cs="仿宋_GB2312"/>
          <w:b/>
          <w:bCs/>
          <w:sz w:val="28"/>
          <w:szCs w:val="28"/>
        </w:rPr>
      </w:pPr>
      <w:bookmarkStart w:id="15" w:name="_Toc256000013"/>
      <w:r>
        <w:rPr>
          <w:rFonts w:ascii="仿宋_GB2312" w:hAnsi="仿宋_GB2312" w:eastAsia="仿宋_GB2312" w:cs="仿宋_GB2312"/>
          <w:sz w:val="28"/>
          <w:szCs w:val="28"/>
        </w:rPr>
        <w:t>2.1.4是否专门面向中小企业</w:t>
      </w:r>
      <w:bookmarkEnd w:id="15"/>
    </w:p>
    <w:p>
      <w:pPr>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面向中小企业预留 50.20% 采购份额</w:t>
      </w:r>
    </w:p>
    <w:p>
      <w:pPr>
        <w:pStyle w:val="4"/>
        <w:keepNext w:val="0"/>
        <w:spacing w:before="0" w:after="0" w:line="360" w:lineRule="auto"/>
        <w:rPr>
          <w:rFonts w:ascii="仿宋_GB2312" w:hAnsi="仿宋_GB2312" w:eastAsia="仿宋_GB2312" w:cs="仿宋_GB2312"/>
          <w:b/>
          <w:bCs/>
          <w:sz w:val="28"/>
          <w:szCs w:val="28"/>
        </w:rPr>
      </w:pPr>
      <w:bookmarkStart w:id="16" w:name="_Toc256000014"/>
      <w:r>
        <w:rPr>
          <w:rFonts w:ascii="仿宋_GB2312" w:hAnsi="仿宋_GB2312" w:eastAsia="仿宋_GB2312" w:cs="仿宋_GB2312"/>
          <w:sz w:val="28"/>
          <w:szCs w:val="28"/>
        </w:rPr>
        <w:t>2.1.5其他要求</w:t>
      </w:r>
      <w:bookmarkEnd w:id="16"/>
    </w:p>
    <w:p>
      <w:pPr>
        <w:pStyle w:val="13"/>
        <w:spacing w:before="0" w:after="0" w:line="360" w:lineRule="auto"/>
        <w:ind w:firstLine="482"/>
        <w:rPr>
          <w:rFonts w:ascii="Times New Roman" w:hAnsi="Times New Roman" w:eastAsia="Times New Roman" w:cs="Times New Roman"/>
        </w:rPr>
      </w:pPr>
      <w:r>
        <w:rPr>
          <w:rFonts w:ascii="SimSun" w:hAnsi="SimSun" w:eastAsia="SimSun" w:cs="SimSun"/>
          <w:sz w:val="21"/>
          <w:szCs w:val="21"/>
        </w:rPr>
        <w:t>采购人或采购代理机构将通过“信用中国”网站(www. creditchina. gov.cn)、“中国政府采购网”(www.ccgp.gov.cn)查询相关主体信用记录。本次查询的信用记录打印的网页版将留存在评标报告中。本项目信用记录查询截止时间点为开标当日。</w:t>
      </w:r>
    </w:p>
    <w:p>
      <w:pPr>
        <w:pStyle w:val="3"/>
        <w:keepNext w:val="0"/>
        <w:spacing w:before="0" w:after="0" w:line="360" w:lineRule="auto"/>
        <w:rPr>
          <w:rFonts w:ascii="仿宋_GB2312" w:hAnsi="仿宋_GB2312" w:eastAsia="仿宋_GB2312" w:cs="仿宋_GB2312"/>
          <w:b/>
          <w:bCs/>
          <w:sz w:val="28"/>
          <w:szCs w:val="28"/>
        </w:rPr>
      </w:pPr>
      <w:bookmarkStart w:id="17" w:name="_Toc256000015"/>
      <w:r>
        <w:rPr>
          <w:rFonts w:ascii="仿宋_GB2312" w:hAnsi="仿宋_GB2312" w:eastAsia="仿宋_GB2312" w:cs="仿宋_GB2312"/>
          <w:i w:val="0"/>
          <w:iCs w:val="0"/>
        </w:rPr>
        <w:t>2.2技术部分投标/响应内容</w:t>
      </w:r>
      <w:bookmarkEnd w:id="17"/>
    </w:p>
    <w:p>
      <w:pPr>
        <w:pStyle w:val="4"/>
        <w:keepNext w:val="0"/>
        <w:spacing w:before="0" w:after="0" w:line="360" w:lineRule="auto"/>
        <w:rPr>
          <w:rFonts w:ascii="仿宋_GB2312" w:hAnsi="仿宋_GB2312" w:eastAsia="仿宋_GB2312" w:cs="仿宋_GB2312"/>
          <w:b/>
          <w:bCs/>
          <w:sz w:val="28"/>
          <w:szCs w:val="28"/>
        </w:rPr>
      </w:pPr>
      <w:bookmarkStart w:id="18" w:name="_Toc256000016"/>
      <w:r>
        <w:rPr>
          <w:rFonts w:ascii="仿宋_GB2312" w:hAnsi="仿宋_GB2312" w:eastAsia="仿宋_GB2312" w:cs="仿宋_GB2312"/>
          <w:sz w:val="28"/>
          <w:szCs w:val="28"/>
        </w:rPr>
        <w:t>2.2.1技术投标/响应总要求</w:t>
      </w:r>
      <w:bookmarkEnd w:id="18"/>
    </w:p>
    <w:p>
      <w:pPr>
        <w:pStyle w:val="13"/>
        <w:spacing w:before="0" w:after="0" w:line="360" w:lineRule="auto"/>
        <w:ind w:firstLine="482"/>
        <w:rPr>
          <w:rFonts w:ascii="Times New Roman" w:hAnsi="Times New Roman" w:eastAsia="Times New Roman" w:cs="Times New Roman"/>
        </w:rPr>
      </w:pPr>
      <w:r>
        <w:rPr>
          <w:rFonts w:ascii="SimSun" w:hAnsi="SimSun" w:eastAsia="SimSun" w:cs="SimSun"/>
          <w:sz w:val="21"/>
          <w:szCs w:val="21"/>
        </w:rPr>
        <w:t>对所有合格投标人评审后得分由高到低顺序排列，采购人授权评标委员会确定得分第一名为中标人。评审得分相同的，按投标报价由低到高顺序排列；得分且投标报价相同的，按技术指标优劣顺序排列；得分且技术指标、投标报价相同的，按企业业绩得分高低顺序排列；得分、技术指标、投标报价且企业业绩得分都相同的采取抽签方式确定中标人。排名第一的投标人放弃中标的，依次顺延确定中标人。本项目分为3个包，投标人可以选择多包投标，中标包数不受限制。</w:t>
      </w:r>
    </w:p>
    <w:p>
      <w:pPr>
        <w:pStyle w:val="4"/>
        <w:keepNext w:val="0"/>
        <w:spacing w:before="0" w:after="0" w:line="360" w:lineRule="auto"/>
        <w:rPr>
          <w:rFonts w:ascii="仿宋_GB2312" w:hAnsi="仿宋_GB2312" w:eastAsia="仿宋_GB2312" w:cs="仿宋_GB2312"/>
          <w:b/>
          <w:bCs/>
          <w:sz w:val="28"/>
          <w:szCs w:val="28"/>
        </w:rPr>
      </w:pPr>
      <w:bookmarkStart w:id="19" w:name="_Toc256000017"/>
      <w:r>
        <w:rPr>
          <w:rFonts w:ascii="仿宋_GB2312" w:hAnsi="仿宋_GB2312" w:eastAsia="仿宋_GB2312" w:cs="仿宋_GB2312"/>
          <w:sz w:val="28"/>
          <w:szCs w:val="28"/>
        </w:rPr>
        <w:t>2.2.2投标/响应方案要求</w:t>
      </w:r>
      <w:bookmarkEnd w:id="19"/>
    </w:p>
    <w:p>
      <w:pPr>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以下相关方案，若作为评审因素，则投标人应在满足★必备指标项要求的前提下，基于对优于★指标项及#、△指标项的应答，根据项目特点和采购需求，制定更为完整、详细、可操作性强的方案。</w:t>
      </w:r>
    </w:p>
    <w:p>
      <w:pPr>
        <w:pStyle w:val="12"/>
        <w:spacing w:before="0" w:after="0" w:line="360" w:lineRule="auto"/>
        <w:ind w:left="0" w:right="0" w:firstLine="420"/>
        <w:rPr>
          <w:sz w:val="21"/>
          <w:szCs w:val="21"/>
        </w:rPr>
      </w:pPr>
      <w:r>
        <w:rPr>
          <w:rFonts w:ascii="SimSun" w:hAnsi="SimSun" w:eastAsia="SimSun" w:cs="SimSun"/>
          <w:sz w:val="21"/>
          <w:szCs w:val="21"/>
        </w:rPr>
        <w:t>一、技术要求</w:t>
      </w:r>
    </w:p>
    <w:p>
      <w:pPr>
        <w:pStyle w:val="12"/>
        <w:spacing w:before="0" w:after="0" w:line="360" w:lineRule="auto"/>
        <w:ind w:left="0" w:right="0" w:firstLine="420"/>
        <w:rPr>
          <w:sz w:val="21"/>
          <w:szCs w:val="21"/>
        </w:rPr>
      </w:pPr>
      <w:r>
        <w:rPr>
          <w:rFonts w:ascii="SimSun" w:hAnsi="SimSun" w:eastAsia="SimSun" w:cs="SimSun"/>
          <w:sz w:val="21"/>
          <w:szCs w:val="21"/>
        </w:rPr>
        <w:t>（一）原料的供货标准：</w:t>
      </w:r>
    </w:p>
    <w:p>
      <w:pPr>
        <w:pStyle w:val="12"/>
        <w:spacing w:before="0" w:after="0" w:line="360" w:lineRule="auto"/>
        <w:ind w:left="0" w:right="0" w:firstLine="420"/>
        <w:rPr>
          <w:sz w:val="21"/>
          <w:szCs w:val="21"/>
        </w:rPr>
      </w:pPr>
      <w:r>
        <w:rPr>
          <w:rFonts w:ascii="SimSun" w:hAnsi="SimSun" w:eastAsia="SimSun" w:cs="SimSun"/>
          <w:sz w:val="21"/>
          <w:szCs w:val="21"/>
        </w:rPr>
        <w:t>1.蔬菜瓜果应保证新鲜，由正规商家供货，符合国家食品卫生标准。投标人应提供按照国家相关规定、相关检测标准出具的检验报告、合格证及国家规定的相关证件。</w:t>
      </w:r>
    </w:p>
    <w:p>
      <w:pPr>
        <w:pStyle w:val="12"/>
        <w:spacing w:before="0" w:after="0" w:line="360" w:lineRule="auto"/>
        <w:ind w:left="0" w:right="0" w:firstLine="420"/>
        <w:rPr>
          <w:sz w:val="21"/>
          <w:szCs w:val="21"/>
        </w:rPr>
      </w:pPr>
      <w:r>
        <w:rPr>
          <w:rFonts w:ascii="SimSun" w:hAnsi="SimSun" w:eastAsia="SimSun" w:cs="SimSun"/>
          <w:sz w:val="21"/>
          <w:szCs w:val="21"/>
        </w:rPr>
        <w:t>2.冷鲜肉（包括猪肉、牛肉、羊肉、鲜（冻）鸡鸭、鸡副产品）等，所供冷鲜肉供货时，每批次须随货提供动物检验检疫合格证明；须加工的肉制品还应具备SC食品生产许可证编号。</w:t>
      </w:r>
    </w:p>
    <w:p>
      <w:pPr>
        <w:pStyle w:val="12"/>
        <w:spacing w:before="0" w:after="0" w:line="360" w:lineRule="auto"/>
        <w:ind w:left="0" w:right="0" w:firstLine="420"/>
        <w:rPr>
          <w:sz w:val="21"/>
          <w:szCs w:val="21"/>
        </w:rPr>
      </w:pPr>
      <w:r>
        <w:rPr>
          <w:rFonts w:ascii="SimSun" w:hAnsi="SimSun" w:eastAsia="SimSun" w:cs="SimSun"/>
          <w:sz w:val="21"/>
          <w:szCs w:val="21"/>
        </w:rPr>
        <w:t>3.水产品、鱼类应体表光滑，无病灶，鳞片完整，无浑浊粘液，鱼类肉质紧密，有弹性，呈白色或淡黄色，眼球外突饱满透明，鳃丝清晰鲜红或暗红，保持活体状态固有本色，无异味，其他海鲜类产品要求新鲜无异味，肉质紧密。</w:t>
      </w:r>
    </w:p>
    <w:p>
      <w:pPr>
        <w:pStyle w:val="12"/>
        <w:spacing w:before="0" w:after="0" w:line="360" w:lineRule="auto"/>
        <w:ind w:left="0" w:right="0" w:firstLine="420"/>
        <w:rPr>
          <w:sz w:val="21"/>
          <w:szCs w:val="21"/>
        </w:rPr>
      </w:pPr>
      <w:r>
        <w:rPr>
          <w:rFonts w:ascii="SimSun" w:hAnsi="SimSun" w:eastAsia="SimSun" w:cs="SimSun"/>
          <w:sz w:val="21"/>
          <w:szCs w:val="21"/>
        </w:rPr>
        <w:t>4.投标人销售给采购人的禽蛋应新鲜，大小均匀，无异味，色泽光滑，无破损。投标人销售给采购人的产品应由正规厂家供货，产地、厂址、保质期等标识明确，符合国家食品卫生标准。投标人应提供按照国家相关规定、相关检测标准出具的检验报告、合格证及国家规定的相关证件。</w:t>
      </w:r>
    </w:p>
    <w:p>
      <w:pPr>
        <w:pStyle w:val="12"/>
        <w:spacing w:before="0" w:after="0" w:line="360" w:lineRule="auto"/>
        <w:ind w:left="0" w:right="0" w:firstLine="420"/>
        <w:rPr>
          <w:sz w:val="21"/>
          <w:szCs w:val="21"/>
        </w:rPr>
      </w:pPr>
      <w:r>
        <w:rPr>
          <w:rFonts w:ascii="SimSun" w:hAnsi="SimSun" w:eastAsia="SimSun" w:cs="SimSun"/>
          <w:sz w:val="21"/>
          <w:szCs w:val="21"/>
        </w:rPr>
        <w:t>5.粮油、副食品、调料、奶制品等产品应由正规厂家供货，产地、厂址、保质期等标识明确，符合国家食品卫生标准。应提供按照国家相关规定、相关检测标准出具的检验报告、合格证及国家规定的相关证件。同时，所有产品必须在保质期内，且不得是临近保质期产品。（注：以下为临近保质期产品：食品保质期为一年以上的，期满之日前45天；保质期为半年以上不足一年的，期满之日前20天；保质期90天以上不足半年的，期满之日前15天；保质期30天以上不足90天的，期满之日前10天；保质期16天以上不足30天的，期满之日前5天；保质期少于15天的，期满之日前3天。）</w:t>
      </w:r>
    </w:p>
    <w:p>
      <w:pPr>
        <w:pStyle w:val="12"/>
        <w:spacing w:before="0" w:after="0" w:line="360" w:lineRule="auto"/>
        <w:ind w:left="0" w:right="0" w:firstLine="420"/>
        <w:rPr>
          <w:sz w:val="21"/>
          <w:szCs w:val="21"/>
        </w:rPr>
      </w:pPr>
      <w:r>
        <w:rPr>
          <w:rFonts w:ascii="SimSun" w:hAnsi="SimSun" w:eastAsia="SimSun" w:cs="SimSun"/>
          <w:sz w:val="21"/>
          <w:szCs w:val="21"/>
        </w:rPr>
        <w:t>6.包装标准：货物包装符合食品种类、规格等要求。如配送货物的卫生、质量及包装不符合《中华人民共和国食品安全法》的要求，采购人将予以拒收。</w:t>
      </w:r>
    </w:p>
    <w:p>
      <w:pPr>
        <w:pStyle w:val="12"/>
        <w:spacing w:before="0" w:after="0" w:line="360" w:lineRule="auto"/>
        <w:ind w:left="0" w:right="0" w:firstLine="420"/>
        <w:rPr>
          <w:sz w:val="21"/>
          <w:szCs w:val="21"/>
        </w:rPr>
      </w:pPr>
      <w:r>
        <w:rPr>
          <w:rFonts w:ascii="SimSun" w:hAnsi="SimSun" w:eastAsia="SimSun" w:cs="SimSun"/>
          <w:sz w:val="21"/>
          <w:szCs w:val="21"/>
        </w:rPr>
        <w:t>（二）原料的质量标准：</w:t>
      </w:r>
    </w:p>
    <w:p>
      <w:pPr>
        <w:pStyle w:val="12"/>
        <w:spacing w:before="0" w:after="0" w:line="360" w:lineRule="auto"/>
        <w:ind w:left="0" w:right="0" w:firstLine="420"/>
        <w:rPr>
          <w:sz w:val="21"/>
          <w:szCs w:val="21"/>
        </w:rPr>
      </w:pPr>
      <w:r>
        <w:rPr>
          <w:rFonts w:ascii="SimSun" w:hAnsi="SimSun" w:eastAsia="SimSun" w:cs="SimSun"/>
          <w:sz w:val="21"/>
          <w:szCs w:val="21"/>
        </w:rPr>
        <w:t>第一包：粮食类(包括：大米、面粉、玉米面、淀粉等)、调味品类、副食品类、禽蛋类、食用油类（花生油、大豆油、玉米油等）、奶制品类食材</w:t>
      </w:r>
    </w:p>
    <w:tbl>
      <w:tblPr>
        <w:tblStyle w:val="14"/>
        <w:tblW w:w="9403" w:type="dxa"/>
        <w:jc w:val="center"/>
        <w:tblCellSpacing w:w="0" w:type="dxa"/>
        <w:tblLayout w:type="autofit"/>
        <w:tblCellMar>
          <w:top w:w="15" w:type="dxa"/>
          <w:left w:w="15" w:type="dxa"/>
          <w:bottom w:w="15" w:type="dxa"/>
          <w:right w:w="15" w:type="dxa"/>
        </w:tblCellMar>
      </w:tblPr>
      <w:tblGrid>
        <w:gridCol w:w="1466"/>
        <w:gridCol w:w="1353"/>
        <w:gridCol w:w="6584"/>
      </w:tblGrid>
      <w:tr>
        <w:tblPrEx>
          <w:tblCellMar>
            <w:top w:w="15" w:type="dxa"/>
            <w:left w:w="15" w:type="dxa"/>
            <w:bottom w:w="15" w:type="dxa"/>
            <w:right w:w="15" w:type="dxa"/>
          </w:tblCellMar>
        </w:tblPrEx>
        <w:trPr>
          <w:trHeight w:val="482" w:hRule="atLeast"/>
          <w:tblCellSpacing w:w="0" w:type="dxa"/>
          <w:jc w:val="center"/>
        </w:trPr>
        <w:tc>
          <w:tcPr>
            <w:tcW w:w="1570"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原料分类</w:t>
            </w:r>
          </w:p>
        </w:tc>
        <w:tc>
          <w:tcPr>
            <w:tcW w:w="1445"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品名</w:t>
            </w:r>
          </w:p>
        </w:tc>
        <w:tc>
          <w:tcPr>
            <w:tcW w:w="7116"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质量标准</w:t>
            </w:r>
          </w:p>
        </w:tc>
      </w:tr>
      <w:tr>
        <w:tblPrEx>
          <w:tblCellMar>
            <w:top w:w="15" w:type="dxa"/>
            <w:left w:w="15" w:type="dxa"/>
            <w:bottom w:w="15" w:type="dxa"/>
            <w:right w:w="15" w:type="dxa"/>
          </w:tblCellMar>
        </w:tblPrEx>
        <w:trPr>
          <w:trHeight w:val="1373" w:hRule="atLeast"/>
          <w:tblCellSpacing w:w="0" w:type="dxa"/>
          <w:jc w:val="center"/>
        </w:trPr>
        <w:tc>
          <w:tcPr>
            <w:tcW w:w="2779" w:type="dxa"/>
            <w:gridSpan w:val="2"/>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大米</w:t>
            </w:r>
          </w:p>
        </w:tc>
        <w:tc>
          <w:tcPr>
            <w:tcW w:w="7116"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米粒形均匀、整齐、重量大没有碎米和爆腰米；有腹白、硬度高；有清香味和光泽，无米糠和其它杂质、无虫草害、无异味、无霉味,滑爽、干燥；</w:t>
            </w:r>
          </w:p>
        </w:tc>
      </w:tr>
      <w:tr>
        <w:tblPrEx>
          <w:tblCellMar>
            <w:top w:w="15" w:type="dxa"/>
            <w:left w:w="15" w:type="dxa"/>
            <w:bottom w:w="15" w:type="dxa"/>
            <w:right w:w="15" w:type="dxa"/>
          </w:tblCellMar>
        </w:tblPrEx>
        <w:trPr>
          <w:trHeight w:val="170" w:hRule="atLeast"/>
          <w:tblCellSpacing w:w="0" w:type="dxa"/>
          <w:jc w:val="center"/>
        </w:trPr>
        <w:tc>
          <w:tcPr>
            <w:gridSpan w:val="2"/>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7116"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卫生指标符合GB2715-2016相关规定；外包装完好、清洁、卫生。标明厂名、品名、重量、生产日期、保质期或保存期、质量等级、食品生产许可证证号、产品标准号、产品合格证等内容；应符合GB/T17109-2008的相关规定；标签要求符合GB7718-2011的相关规定。</w:t>
            </w:r>
          </w:p>
        </w:tc>
      </w:tr>
      <w:tr>
        <w:tblPrEx>
          <w:tblCellMar>
            <w:top w:w="15" w:type="dxa"/>
            <w:left w:w="15" w:type="dxa"/>
            <w:bottom w:w="15" w:type="dxa"/>
            <w:right w:w="15" w:type="dxa"/>
          </w:tblCellMar>
        </w:tblPrEx>
        <w:trPr>
          <w:trHeight w:val="471" w:hRule="atLeast"/>
          <w:tblCellSpacing w:w="0" w:type="dxa"/>
          <w:jc w:val="center"/>
        </w:trPr>
        <w:tc>
          <w:tcPr>
            <w:tcW w:w="2779" w:type="dxa"/>
            <w:gridSpan w:val="2"/>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面粉</w:t>
            </w:r>
          </w:p>
        </w:tc>
        <w:tc>
          <w:tcPr>
            <w:tcW w:w="7116"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食品安全指标应符合GB2715-2016相关规定，面粉中不得添加非食用物质，包括过氧化苯甲酰、溴酸钾等。具有固有的色泽和香味，无异味或霉味，无虫蛀结块挂丝或杂质异物。小麦粉采购等级为特制一等，符合国家标准GB/T1355-2021。包装要求：外包装完好、清洁、卫生。标明厂名、品名、重量、生产日期、保质期或保存期、质量等级、SC许可证号、产品标准号、产品合格证等内容。标签要求：符合GB7718-2011。质保期：应符合GB/T1355-2021的规定。</w:t>
            </w:r>
          </w:p>
        </w:tc>
      </w:tr>
      <w:tr>
        <w:tblPrEx>
          <w:tblCellMar>
            <w:top w:w="15" w:type="dxa"/>
            <w:left w:w="15" w:type="dxa"/>
            <w:bottom w:w="15" w:type="dxa"/>
            <w:right w:w="15" w:type="dxa"/>
          </w:tblCellMar>
        </w:tblPrEx>
        <w:trPr>
          <w:trHeight w:val="170" w:hRule="atLeast"/>
          <w:tblCellSpacing w:w="0" w:type="dxa"/>
          <w:jc w:val="center"/>
        </w:trPr>
        <w:tc>
          <w:tcPr>
            <w:tcW w:w="2779" w:type="dxa"/>
            <w:gridSpan w:val="2"/>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玉米面</w:t>
            </w:r>
          </w:p>
        </w:tc>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r>
      <w:tr>
        <w:tblPrEx>
          <w:tblCellMar>
            <w:top w:w="15" w:type="dxa"/>
            <w:left w:w="15" w:type="dxa"/>
            <w:bottom w:w="15" w:type="dxa"/>
            <w:right w:w="15" w:type="dxa"/>
          </w:tblCellMar>
        </w:tblPrEx>
        <w:trPr>
          <w:trHeight w:val="1902" w:hRule="atLeast"/>
          <w:tblCellSpacing w:w="0" w:type="dxa"/>
          <w:jc w:val="center"/>
        </w:trPr>
        <w:tc>
          <w:tcPr>
            <w:tcW w:w="2779" w:type="dxa"/>
            <w:gridSpan w:val="2"/>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淀粉</w:t>
            </w:r>
          </w:p>
        </w:tc>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r>
      <w:tr>
        <w:tblPrEx>
          <w:tblCellMar>
            <w:top w:w="15" w:type="dxa"/>
            <w:left w:w="15" w:type="dxa"/>
            <w:bottom w:w="15" w:type="dxa"/>
            <w:right w:w="15" w:type="dxa"/>
          </w:tblCellMar>
        </w:tblPrEx>
        <w:trPr>
          <w:trHeight w:val="99" w:hRule="atLeast"/>
          <w:tblCellSpacing w:w="0" w:type="dxa"/>
          <w:jc w:val="center"/>
        </w:trPr>
        <w:tc>
          <w:tcPr>
            <w:tcW w:w="2779" w:type="dxa"/>
            <w:gridSpan w:val="2"/>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花生油、大豆油、玉米油等</w:t>
            </w:r>
          </w:p>
        </w:tc>
        <w:tc>
          <w:tcPr>
            <w:tcW w:w="7116"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卫生标准应当符合GB2716-2018规定。酸价：≤4；过氧化值（meq/kg）：≤20。质保期：自收到产品之日起，产品剩余保存期不得少于原有保质期的三分之二。</w:t>
            </w:r>
          </w:p>
        </w:tc>
      </w:tr>
      <w:tr>
        <w:tblPrEx>
          <w:tblCellMar>
            <w:top w:w="15" w:type="dxa"/>
            <w:left w:w="15" w:type="dxa"/>
            <w:bottom w:w="15" w:type="dxa"/>
            <w:right w:w="15" w:type="dxa"/>
          </w:tblCellMar>
        </w:tblPrEx>
        <w:trPr>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调味品</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盐</w:t>
            </w:r>
          </w:p>
        </w:tc>
        <w:tc>
          <w:tcPr>
            <w:tcW w:w="7116" w:type="dxa"/>
            <w:vMerge w:val="restart"/>
            <w:tcBorders>
              <w:top w:val="single" w:color="000000" w:sz="8" w:space="0"/>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标明产品品牌，必须符合调味品的国家现行标准，注明产品不同容量及包装的报价，提供产品检验检疫合格证。</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味精</w:t>
            </w:r>
          </w:p>
        </w:tc>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酱油</w:t>
            </w:r>
          </w:p>
        </w:tc>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食醋</w:t>
            </w:r>
          </w:p>
        </w:tc>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r>
      <w:tr>
        <w:tblPrEx>
          <w:tblCellMar>
            <w:top w:w="15" w:type="dxa"/>
            <w:left w:w="15" w:type="dxa"/>
            <w:bottom w:w="15" w:type="dxa"/>
            <w:right w:w="15" w:type="dxa"/>
          </w:tblCellMar>
        </w:tblPrEx>
        <w:trPr>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豆制品</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豆腐</w:t>
            </w:r>
          </w:p>
        </w:tc>
        <w:tc>
          <w:tcPr>
            <w:tcW w:w="7106" w:type="dxa"/>
            <w:vMerge w:val="restart"/>
            <w:tcBorders>
              <w:bottom w:val="nil"/>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富有弹性、带有豆香味；无粘手、发酸等情况。</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豆腐皮</w:t>
            </w:r>
          </w:p>
        </w:tc>
        <w:tc>
          <w:tcPr>
            <w:vMerge w:val="continue"/>
            <w:tcBorders>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r>
      <w:tr>
        <w:tblPrEx>
          <w:tblCellMar>
            <w:top w:w="15" w:type="dxa"/>
            <w:left w:w="15" w:type="dxa"/>
            <w:bottom w:w="15" w:type="dxa"/>
            <w:right w:w="15" w:type="dxa"/>
          </w:tblCellMar>
        </w:tblPrEx>
        <w:trPr>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干货</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黑木耳</w:t>
            </w: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条形大而完整,耳瓣舒展少卷曲，内厚黑，富于光泽,体干不霉,无杂质和碎粒。</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干香菇</w:t>
            </w: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干料干爽、不霉烂、朵小柄短、大小均匀、无虫蛀、无杂质、保持相应的色泽。</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粉丝</w:t>
            </w: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粉条细长,白净,晶莹透明、丝条均匀、整齐、干燥、不易手折断、无斑点、无黑迹、无霉变。</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紫菜</w:t>
            </w: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柔嫩微脆、叶薄、色紫清香鲜美。</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花椒</w:t>
            </w: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壳色红艳油润，果实开口而不含或少含籽粒，无枝干及杂质、无破碎污染。</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大料</w:t>
            </w: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色泽棕红，大小均匀，呈八角形，骨朵饱满干裂破碎和脱壳不超过10%。</w:t>
            </w:r>
          </w:p>
        </w:tc>
      </w:tr>
      <w:tr>
        <w:tblPrEx>
          <w:tblCellMar>
            <w:top w:w="15" w:type="dxa"/>
            <w:left w:w="15" w:type="dxa"/>
            <w:bottom w:w="15" w:type="dxa"/>
            <w:right w:w="15" w:type="dxa"/>
          </w:tblCellMar>
        </w:tblPrEx>
        <w:trPr>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禽蛋</w:t>
            </w:r>
          </w:p>
        </w:tc>
        <w:tc>
          <w:tcPr>
            <w:tcW w:w="1445"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鸡蛋</w:t>
            </w: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外观有层霜状粉末,壳表面比较粗糙,但有光泽；每斤7-9个；</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透光,呈桔红色,气室小而透亮,蛋黄轮廓完整清晰,无斑点；</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无异味，破损率小于1%；</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7106" w:type="dxa"/>
            <w:tcBorders>
              <w:bottom w:val="single" w:color="000000" w:sz="8" w:space="0"/>
              <w:right w:val="single" w:color="000000" w:sz="8" w:space="0"/>
            </w:tcBorders>
            <w:noWrap w:val="0"/>
            <w:tcMar>
              <w:top w:w="0" w:type="dxa"/>
              <w:left w:w="10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轻轻摇动鸡蛋时,听不到声音或感觉不到振动。</w:t>
            </w:r>
          </w:p>
        </w:tc>
      </w:tr>
      <w:tr>
        <w:tblPrEx>
          <w:tblCellMar>
            <w:top w:w="15" w:type="dxa"/>
            <w:left w:w="15" w:type="dxa"/>
            <w:bottom w:w="15" w:type="dxa"/>
            <w:right w:w="15" w:type="dxa"/>
          </w:tblCellMar>
        </w:tblPrEx>
        <w:trPr>
          <w:trHeight w:val="170" w:hRule="atLeast"/>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奶制品</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牛奶</w:t>
            </w:r>
          </w:p>
        </w:tc>
        <w:tc>
          <w:tcPr>
            <w:tcW w:w="7116"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符合国家GB2761-2017《食品安全国家标准 食品中真菌毒素限量》，GB2762-2017《食品安全国家标准 食品中污染物限量》，卫生部2011年第10号公告  《三聚氰胺在食品中的限量值》，GB19645-2010《食品安全国家标准  巴氏杀菌乳》。根据产地生产日期在七日或十五日以内。</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酸奶</w:t>
            </w:r>
          </w:p>
        </w:tc>
        <w:tc>
          <w:tcPr>
            <w:tcW w:w="7116"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符合国家GB2761-2017《食品安全国家标准 食品中真菌毒素限量》，GB2762-2017《食品安全国家标准 食品中污染物限量》，卫生部2011年第10号公告  《三聚氰胺在食品中的限量值》，GB19645-2010《食品安全国家标准  巴氏杀菌乳》。根据产地生产日期在三日或五日以内。</w:t>
            </w:r>
          </w:p>
        </w:tc>
      </w:tr>
    </w:tbl>
    <w:p>
      <w:pPr>
        <w:pStyle w:val="12"/>
        <w:spacing w:before="0" w:after="0" w:line="360" w:lineRule="auto"/>
        <w:ind w:left="0" w:right="0" w:firstLine="420"/>
        <w:jc w:val="both"/>
        <w:rPr>
          <w:sz w:val="21"/>
          <w:szCs w:val="21"/>
        </w:rPr>
      </w:pPr>
      <w:r>
        <w:rPr>
          <w:rFonts w:ascii="SimSun" w:hAnsi="SimSun" w:eastAsia="SimSun" w:cs="SimSun"/>
          <w:sz w:val="21"/>
          <w:szCs w:val="21"/>
        </w:rPr>
        <w:t>第二包：蔬菜类、水果类</w:t>
      </w:r>
    </w:p>
    <w:tbl>
      <w:tblPr>
        <w:tblStyle w:val="14"/>
        <w:tblW w:w="9367" w:type="dxa"/>
        <w:jc w:val="center"/>
        <w:tblCellSpacing w:w="0" w:type="dxa"/>
        <w:tblLayout w:type="autofit"/>
        <w:tblCellMar>
          <w:top w:w="15" w:type="dxa"/>
          <w:left w:w="15" w:type="dxa"/>
          <w:bottom w:w="15" w:type="dxa"/>
          <w:right w:w="15" w:type="dxa"/>
        </w:tblCellMar>
      </w:tblPr>
      <w:tblGrid>
        <w:gridCol w:w="1471"/>
        <w:gridCol w:w="1358"/>
        <w:gridCol w:w="6538"/>
      </w:tblGrid>
      <w:tr>
        <w:tblPrEx>
          <w:tblCellMar>
            <w:top w:w="15" w:type="dxa"/>
            <w:left w:w="15" w:type="dxa"/>
            <w:bottom w:w="15" w:type="dxa"/>
            <w:right w:w="15" w:type="dxa"/>
          </w:tblCellMar>
        </w:tblPrEx>
        <w:trPr>
          <w:trHeight w:val="482" w:hRule="atLeast"/>
          <w:tblCellSpacing w:w="0" w:type="dxa"/>
          <w:jc w:val="center"/>
        </w:trPr>
        <w:tc>
          <w:tcPr>
            <w:tcW w:w="1570"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原料分类</w:t>
            </w:r>
          </w:p>
        </w:tc>
        <w:tc>
          <w:tcPr>
            <w:tcW w:w="1445"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品名</w:t>
            </w:r>
          </w:p>
        </w:tc>
        <w:tc>
          <w:tcPr>
            <w:tcW w:w="7080"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质量标准</w:t>
            </w:r>
          </w:p>
        </w:tc>
      </w:tr>
      <w:tr>
        <w:tblPrEx>
          <w:tblCellMar>
            <w:top w:w="15" w:type="dxa"/>
            <w:left w:w="15" w:type="dxa"/>
            <w:bottom w:w="15" w:type="dxa"/>
            <w:right w:w="15" w:type="dxa"/>
          </w:tblCellMar>
        </w:tblPrEx>
        <w:trPr>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蔬菜类</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大白菜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新鲜洁白,表面无黑色斑点,里面无烂心、无开花、坏叶不超过4片。</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白萝卜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表皮光洁,无黑心、无空心,小的不低于0.5斤,大的不超过3斤。</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尖椒</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无异味,尾部新鲜、硬朗、硬而不青,长度不短于10公分。</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大头菜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1.5斤以上,无黄叶、虫叶、结实无烂心。</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蒜苔</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长而匀称、绿色鲜艳、无暗斑、尾部老硬不能超过1寸,没有冻伤(中间抽看,防冻烂）。</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红萝卜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直径2公分、长度1公寸,大而均匀、色泽鲜艳。</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豆角</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新鲜、长度40公分左右,长而结实,折断为实心、无虫。</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花菜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直径1公寸,洁白而无黑点斑点。</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西兰花</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表面蓓蕾平展,无开花、发黄现象，无异味臭味。</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冬瓜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个小、结实、检查表皮无松软感。</w:t>
            </w:r>
          </w:p>
        </w:tc>
      </w:tr>
      <w:tr>
        <w:tblPrEx>
          <w:tblCellMar>
            <w:top w:w="15" w:type="dxa"/>
            <w:left w:w="15" w:type="dxa"/>
            <w:bottom w:w="15" w:type="dxa"/>
            <w:right w:w="15" w:type="dxa"/>
          </w:tblCellMar>
        </w:tblPrEx>
        <w:trPr>
          <w:trHeight w:val="287"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生姜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个大、金黄色。</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丝瓜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头尾粗细较均匀,皮嫩、有弹力。</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西芹</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嫩绿色折断无筋,无烂心；棵大、杆长、节稀。</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土豆</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大而圆滑、无泥土伤疤、无发芽、无发绿。</w:t>
            </w:r>
          </w:p>
        </w:tc>
      </w:tr>
      <w:tr>
        <w:tblPrEx>
          <w:tblCellMar>
            <w:top w:w="15" w:type="dxa"/>
            <w:left w:w="15" w:type="dxa"/>
            <w:bottom w:w="15" w:type="dxa"/>
            <w:right w:w="15" w:type="dxa"/>
          </w:tblCellMar>
        </w:tblPrEx>
        <w:trPr>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刺黄瓜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无腐烂、畸形、异味、机械伤，单体150—200克。</w:t>
            </w:r>
          </w:p>
        </w:tc>
      </w:tr>
      <w:tr>
        <w:tblPrEx>
          <w:tblCellMar>
            <w:top w:w="15" w:type="dxa"/>
            <w:left w:w="15" w:type="dxa"/>
            <w:bottom w:w="15" w:type="dxa"/>
            <w:right w:w="15" w:type="dxa"/>
          </w:tblCellMar>
        </w:tblPrEx>
        <w:trPr>
          <w:trHeight w:val="90" w:hRule="atLeast"/>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西红柿</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红而不软,硬而不青，单体150—250克。</w:t>
            </w:r>
          </w:p>
        </w:tc>
      </w:tr>
      <w:tr>
        <w:tblPrEx>
          <w:tblCellMar>
            <w:top w:w="15" w:type="dxa"/>
            <w:left w:w="15" w:type="dxa"/>
            <w:bottom w:w="15" w:type="dxa"/>
            <w:right w:w="15" w:type="dxa"/>
          </w:tblCellMar>
        </w:tblPrEx>
        <w:trPr>
          <w:trHeight w:val="170" w:hRule="atLeast"/>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水果类</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梨</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果形端正，大小均匀，无畸形果，带果柄；果面新鲜洁净，无刺划伤，无压痕，无病虫害；重身 结实，味道爽甜。</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苹果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具有本品种特有的外形，大小均匀，果面光滑有光泽，具有本品种应有的自然色泽；无斑点或极少果锈，不起皱，无裂口，无压痕及其他机械损伤和冻伤黑斑；果身重，硬朗；口感汁液饱满，无苦涩味，无木栓化组织。</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柑类</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果实大近似球形，无异状突起瘤、无病虫害所呈现的绿斑、黑斑，无霉烂，无机械伤，果面清新洁净，大小均匀，果实无萎蔫，色泽自然。</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桔类</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果实小而扁，大小均匀，果面新鲜光洁无裂口，无机械伤，无病斑及腐烂现象，果蒂完整平齐，易剥落，桔络少。</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橙类</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大小均匀，皮光滑并有光泽，手感重，无机械损伤。难剥离，果汁多，味可口，无萎蔫。</w:t>
            </w:r>
          </w:p>
        </w:tc>
      </w:tr>
      <w:tr>
        <w:tblPrEx>
          <w:tblCellMar>
            <w:top w:w="15" w:type="dxa"/>
            <w:left w:w="15" w:type="dxa"/>
            <w:bottom w:w="15" w:type="dxa"/>
            <w:right w:w="15" w:type="dxa"/>
          </w:tblCellMar>
        </w:tblPrEx>
        <w:trPr>
          <w:trHeight w:val="932"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柚类</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果实大，圆形或梨形，果皮厚达1cm，难剥离，酸甜合适，大小均匀。</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香蕉</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果实丰满，果形端正，梳柄完整，不缺只口，单果均匀；色泽自然、光亮；皮色青黄，果面光滑，无病黑斑，无虫疤，无霉菌，无创伤；果肉稍硬；果皮可剥或易剥。</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葡萄类</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具有本品种应具有的外形、色泽；果粒面完好，皮上无斑痕，果珠饱满，大小均匀；轻提果穗枝梗，微微抖动，果实不抖落或抖落极少。</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桃类</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具有本品种应有的外形及色泽，大小均匀，果形端正，果面无不正常斑点，无裂口及其他机械损伤，无腐烂，无病虫害，无药害，无破皮。</w:t>
            </w:r>
          </w:p>
        </w:tc>
      </w:tr>
      <w:tr>
        <w:tblPrEx>
          <w:tblCellMar>
            <w:top w:w="15" w:type="dxa"/>
            <w:left w:w="15" w:type="dxa"/>
            <w:bottom w:w="15" w:type="dxa"/>
            <w:right w:w="15" w:type="dxa"/>
          </w:tblCellMar>
        </w:tblPrEx>
        <w:trPr>
          <w:trHeight w:val="170" w:hRule="atLeast"/>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瓜类</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西瓜类</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具有本品种应有的形状，大小均匀，成熟，果色清新光亮，条纹清晰，果皮无伤痕，无水份腐烂，无干疤，无虫眼，无病斑，果柄茸毛脱落，脐部凹陷，水份大，甜度高，切开鲜艳光泽，无异味及黑瓤。</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哈密瓜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瓜形端正，呈椭圆或橄榄形。瓜身坚实微软，果皮无伤及其无腐烂，切开色泽鲜艳光润，大小均匀，香气浓郁。</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香瓜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外形完整良好，新鲜洁净，果身坚实，果面无裂痕、腐烂、水分、病虫害、药害，大小均匀。</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白兰瓜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外形端正，大小均匀，绿色全部消退，阳面呈白色，着地处呈鲜黄，瓜面光滑细腻，手弹微有弹性，无任何损伤。</w:t>
            </w:r>
          </w:p>
        </w:tc>
      </w:tr>
      <w:tr>
        <w:tblPrEx>
          <w:tblCellMar>
            <w:top w:w="15" w:type="dxa"/>
            <w:left w:w="15" w:type="dxa"/>
            <w:bottom w:w="15" w:type="dxa"/>
            <w:right w:w="15" w:type="dxa"/>
          </w:tblCellMar>
        </w:tblPrEx>
        <w:trPr>
          <w:trHeight w:val="544" w:hRule="atLeast"/>
          <w:tblCellSpacing w:w="0" w:type="dxa"/>
          <w:jc w:val="center"/>
        </w:trPr>
        <w:tc>
          <w:tcPr>
            <w:tcW w:w="157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其他</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板栗</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果粒个大、均匀、饱满，手捏时坚实不塌瘪，皮色呈红、褐等色,具有光泽。果面无虫蛀，无风干，无腐烂，无破损，无裂嘴。</w:t>
            </w:r>
          </w:p>
        </w:tc>
      </w:tr>
      <w:tr>
        <w:tblPrEx>
          <w:tblCellMar>
            <w:top w:w="15" w:type="dxa"/>
            <w:left w:w="15" w:type="dxa"/>
            <w:bottom w:w="15" w:type="dxa"/>
            <w:right w:w="15" w:type="dxa"/>
          </w:tblCellMar>
        </w:tblPrEx>
        <w:trPr>
          <w:trHeight w:val="9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火龙果</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果面火红有光泽，叶片青，果实坚实。无腐烂，无软塌，无皱缩，大小均匀。</w:t>
            </w:r>
          </w:p>
        </w:tc>
      </w:tr>
      <w:tr>
        <w:tblPrEx>
          <w:tblCellMar>
            <w:top w:w="15" w:type="dxa"/>
            <w:left w:w="15" w:type="dxa"/>
            <w:bottom w:w="15" w:type="dxa"/>
            <w:right w:w="15" w:type="dxa"/>
          </w:tblCellMar>
        </w:tblPrEx>
        <w:trPr>
          <w:trHeight w:val="346"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草莓</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色泽鲜红、水灵，无烂斑，无病虫害及其它伤害，大小均匀，蒂部有青色。</w:t>
            </w:r>
          </w:p>
        </w:tc>
      </w:tr>
      <w:tr>
        <w:tblPrEx>
          <w:tblCellMar>
            <w:top w:w="15" w:type="dxa"/>
            <w:left w:w="15" w:type="dxa"/>
            <w:bottom w:w="15" w:type="dxa"/>
            <w:right w:w="15" w:type="dxa"/>
          </w:tblCellMar>
        </w:tblPrEx>
        <w:trPr>
          <w:trHeight w:val="1245"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红枣</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具有本品种应有的特征，大枣鲜红或深紫，小枣红中带黄，有光泽，果面清洁，无霉烂，无病虫，无破损，手捏手感紧实、不粘，无霉味，无酒味，无腐败味，无苦味。</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荔枝</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果皮鲜红，稍带紫色；果肉透明、爽口、甜度适中，无裂果，无腐烂，无病虫害，无药害及其它伤害，大小均匀。</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菠萝</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外形完整良好，新鲜洁净，无异常气味或滋味。果身坚实，无潮湿溢汁、溢胶；无霜害，无日烧，无腐烂，无药害及其它伤害。</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桂圆</w:t>
            </w:r>
          </w:p>
        </w:tc>
        <w:tc>
          <w:tcPr>
            <w:tcW w:w="708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top"/>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果色棕黄，果粒均匀，果身较平滑有光泽，果肉不粘手，易剥落，有韧性；无霉烂，无黑斑。</w:t>
            </w:r>
          </w:p>
        </w:tc>
      </w:tr>
    </w:tbl>
    <w:p>
      <w:pPr>
        <w:pStyle w:val="12"/>
        <w:spacing w:before="0" w:after="0" w:line="360" w:lineRule="auto"/>
        <w:ind w:left="0" w:right="0" w:firstLine="420"/>
        <w:jc w:val="both"/>
        <w:rPr>
          <w:sz w:val="21"/>
          <w:szCs w:val="21"/>
        </w:rPr>
      </w:pPr>
      <w:r>
        <w:rPr>
          <w:rFonts w:ascii="SimSun" w:hAnsi="SimSun" w:eastAsia="SimSun" w:cs="SimSun"/>
          <w:sz w:val="21"/>
          <w:szCs w:val="21"/>
        </w:rPr>
        <w:t>第三包：肉产品类、水产品类</w:t>
      </w:r>
    </w:p>
    <w:tbl>
      <w:tblPr>
        <w:tblStyle w:val="14"/>
        <w:tblW w:w="0" w:type="auto"/>
        <w:jc w:val="center"/>
        <w:tblCellSpacing w:w="0" w:type="dxa"/>
        <w:tblLayout w:type="autofit"/>
        <w:tblCellMar>
          <w:top w:w="15" w:type="dxa"/>
          <w:left w:w="15" w:type="dxa"/>
          <w:bottom w:w="15" w:type="dxa"/>
          <w:right w:w="15" w:type="dxa"/>
        </w:tblCellMar>
      </w:tblPr>
      <w:tblGrid>
        <w:gridCol w:w="1601"/>
        <w:gridCol w:w="1359"/>
        <w:gridCol w:w="6342"/>
      </w:tblGrid>
      <w:tr>
        <w:tblPrEx>
          <w:tblCellMar>
            <w:top w:w="15" w:type="dxa"/>
            <w:left w:w="15" w:type="dxa"/>
            <w:bottom w:w="15" w:type="dxa"/>
            <w:right w:w="15" w:type="dxa"/>
          </w:tblCellMar>
        </w:tblPrEx>
        <w:trPr>
          <w:trHeight w:val="482" w:hRule="atLeast"/>
          <w:tblCellSpacing w:w="0" w:type="dxa"/>
          <w:jc w:val="center"/>
        </w:trPr>
        <w:tc>
          <w:tcPr>
            <w:tcW w:w="1690"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原料分类</w:t>
            </w:r>
          </w:p>
        </w:tc>
        <w:tc>
          <w:tcPr>
            <w:tcW w:w="1445"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品名</w:t>
            </w:r>
          </w:p>
        </w:tc>
        <w:tc>
          <w:tcPr>
            <w:tcW w:w="6900" w:type="dxa"/>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质量标准</w:t>
            </w:r>
          </w:p>
        </w:tc>
      </w:tr>
      <w:tr>
        <w:tblPrEx>
          <w:tblCellMar>
            <w:top w:w="15" w:type="dxa"/>
            <w:left w:w="15" w:type="dxa"/>
            <w:bottom w:w="15" w:type="dxa"/>
            <w:right w:w="15" w:type="dxa"/>
          </w:tblCellMar>
        </w:tblPrEx>
        <w:trPr>
          <w:trHeight w:val="482" w:hRule="atLeast"/>
          <w:tblCellSpacing w:w="0" w:type="dxa"/>
          <w:jc w:val="center"/>
        </w:trPr>
        <w:tc>
          <w:tcPr>
            <w:tcW w:w="169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肉类</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带皮猪肉</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猪皮干净无猪毛，猪肉肥瘦均匀,颜色要鲜艳。</w:t>
            </w:r>
          </w:p>
        </w:tc>
      </w:tr>
      <w:tr>
        <w:tblPrEx>
          <w:tblCellMar>
            <w:top w:w="15" w:type="dxa"/>
            <w:left w:w="15" w:type="dxa"/>
            <w:bottom w:w="15" w:type="dxa"/>
            <w:right w:w="15" w:type="dxa"/>
          </w:tblCellMar>
        </w:tblPrEx>
        <w:trPr>
          <w:trHeight w:val="482"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精肉</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肉质紧密无淋巴瘤，色泽新鲜有弹性、无杂质、无异味。</w:t>
            </w:r>
          </w:p>
        </w:tc>
      </w:tr>
      <w:tr>
        <w:tblPrEx>
          <w:tblCellMar>
            <w:top w:w="15" w:type="dxa"/>
            <w:left w:w="15" w:type="dxa"/>
            <w:bottom w:w="15" w:type="dxa"/>
            <w:right w:w="15" w:type="dxa"/>
          </w:tblCellMar>
        </w:tblPrEx>
        <w:trPr>
          <w:trHeight w:val="482"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肉馅</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肉色要好，不能有淤血、淋巴瘤。</w:t>
            </w:r>
          </w:p>
        </w:tc>
      </w:tr>
      <w:tr>
        <w:tblPrEx>
          <w:tblCellMar>
            <w:top w:w="15" w:type="dxa"/>
            <w:left w:w="15" w:type="dxa"/>
            <w:bottom w:w="15" w:type="dxa"/>
            <w:right w:w="15" w:type="dxa"/>
          </w:tblCellMar>
        </w:tblPrEx>
        <w:trPr>
          <w:trHeight w:val="482" w:hRule="atLeast"/>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净猪蹄</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新鲜无毛、前蹄带筋、大小均匀。</w:t>
            </w:r>
          </w:p>
        </w:tc>
      </w:tr>
      <w:tr>
        <w:tblPrEx>
          <w:tblCellMar>
            <w:top w:w="15" w:type="dxa"/>
            <w:left w:w="15" w:type="dxa"/>
            <w:bottom w:w="15" w:type="dxa"/>
            <w:right w:w="15" w:type="dxa"/>
          </w:tblCellMar>
        </w:tblPrEx>
        <w:trPr>
          <w:trHeight w:val="482" w:hRule="atLeast"/>
          <w:tblCellSpacing w:w="0" w:type="dxa"/>
          <w:jc w:val="center"/>
        </w:trPr>
        <w:tc>
          <w:tcPr>
            <w:tcW w:w="1690" w:type="dxa"/>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牛产品类、羊产品类、家禽类</w:t>
            </w: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羊肉</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肉色泽新鲜有弹性、肉质紧密、无注水。</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牛肉</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肉色泽新鲜有弹性、肉质紧密、无注水。</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鸡上腿</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单冰无毛、无於血、每个100克左右。</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翅中</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单冰无毛、无於血、每斤8个大小均匀。</w:t>
            </w:r>
          </w:p>
        </w:tc>
      </w:tr>
      <w:tr>
        <w:tblPrEx>
          <w:tblCellMar>
            <w:top w:w="15" w:type="dxa"/>
            <w:left w:w="15" w:type="dxa"/>
            <w:bottom w:w="15" w:type="dxa"/>
            <w:right w:w="15" w:type="dxa"/>
          </w:tblCellMar>
        </w:tblPrEx>
        <w:trPr>
          <w:trHeight w:val="170" w:hRule="atLeast"/>
          <w:tblCellSpacing w:w="0" w:type="dxa"/>
          <w:jc w:val="center"/>
        </w:trPr>
        <w:tc>
          <w:tcPr>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1445"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翅根</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单冰无毛、无於血、每斤8个大小均匀。</w:t>
            </w:r>
          </w:p>
        </w:tc>
      </w:tr>
      <w:tr>
        <w:tblPrEx>
          <w:tblCellMar>
            <w:top w:w="15" w:type="dxa"/>
            <w:left w:w="15" w:type="dxa"/>
            <w:bottom w:w="15" w:type="dxa"/>
            <w:right w:w="15" w:type="dxa"/>
          </w:tblCellMar>
        </w:tblPrEx>
        <w:trPr>
          <w:tblCellSpacing w:w="0" w:type="dxa"/>
          <w:jc w:val="center"/>
        </w:trPr>
        <w:tc>
          <w:tcPr>
            <w:tcW w:w="2899" w:type="dxa"/>
            <w:gridSpan w:val="2"/>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鱼</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鲜鱼眼睛凸起,澄清有光泽。</w:t>
            </w:r>
          </w:p>
        </w:tc>
      </w:tr>
      <w:tr>
        <w:tblPrEx>
          <w:tblCellMar>
            <w:top w:w="15" w:type="dxa"/>
            <w:left w:w="15" w:type="dxa"/>
            <w:bottom w:w="15" w:type="dxa"/>
            <w:right w:w="15" w:type="dxa"/>
          </w:tblCellMar>
        </w:tblPrEx>
        <w:trPr>
          <w:tblCellSpacing w:w="0" w:type="dxa"/>
          <w:jc w:val="center"/>
        </w:trPr>
        <w:tc>
          <w:tcPr>
            <w:gridSpan w:val="2"/>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鲜鱼鳃紧闭,鳃片呈鲜红色,无黏液和污物。</w:t>
            </w:r>
          </w:p>
        </w:tc>
      </w:tr>
      <w:tr>
        <w:tblPrEx>
          <w:tblCellMar>
            <w:top w:w="15" w:type="dxa"/>
            <w:left w:w="15" w:type="dxa"/>
            <w:bottom w:w="15" w:type="dxa"/>
            <w:right w:w="15" w:type="dxa"/>
          </w:tblCellMar>
        </w:tblPrEx>
        <w:trPr>
          <w:tblCellSpacing w:w="0" w:type="dxa"/>
          <w:jc w:val="center"/>
        </w:trPr>
        <w:tc>
          <w:tcPr>
            <w:gridSpan w:val="2"/>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新鲜的鳞片整齐,排列紧密,有黏液和光泽,轮层明显。</w:t>
            </w:r>
          </w:p>
        </w:tc>
      </w:tr>
      <w:tr>
        <w:tblPrEx>
          <w:tblCellMar>
            <w:top w:w="15" w:type="dxa"/>
            <w:left w:w="15" w:type="dxa"/>
            <w:bottom w:w="15" w:type="dxa"/>
            <w:right w:w="15" w:type="dxa"/>
          </w:tblCellMar>
        </w:tblPrEx>
        <w:trPr>
          <w:tblCellSpacing w:w="0" w:type="dxa"/>
          <w:jc w:val="center"/>
        </w:trPr>
        <w:tc>
          <w:tcPr>
            <w:tcW w:w="2899" w:type="dxa"/>
            <w:gridSpan w:val="2"/>
            <w:vMerge w:val="restart"/>
            <w:tcBorders>
              <w:left w:val="single" w:color="000000" w:sz="8" w:space="0"/>
              <w:bottom w:val="nil"/>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活虾</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外表:新鲜的虾头尾完整,有一定的弯曲度、虾身较挺；</w:t>
            </w:r>
          </w:p>
        </w:tc>
      </w:tr>
      <w:tr>
        <w:tblPrEx>
          <w:tblCellMar>
            <w:top w:w="15" w:type="dxa"/>
            <w:left w:w="15" w:type="dxa"/>
            <w:bottom w:w="15" w:type="dxa"/>
            <w:right w:w="15" w:type="dxa"/>
          </w:tblCellMar>
        </w:tblPrEx>
        <w:trPr>
          <w:tblCellSpacing w:w="0" w:type="dxa"/>
          <w:jc w:val="center"/>
        </w:trPr>
        <w:tc>
          <w:tcPr>
            <w:gridSpan w:val="2"/>
            <w:vMerge w:val="continue"/>
            <w:tcBorders>
              <w:left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色泽:新鲜的虾皮壳发亮,呈青白色；</w:t>
            </w:r>
          </w:p>
        </w:tc>
      </w:tr>
      <w:tr>
        <w:tblPrEx>
          <w:tblCellMar>
            <w:top w:w="15" w:type="dxa"/>
            <w:left w:w="15" w:type="dxa"/>
            <w:bottom w:w="15" w:type="dxa"/>
            <w:right w:w="15" w:type="dxa"/>
          </w:tblCellMar>
        </w:tblPrEx>
        <w:trPr>
          <w:tblCellSpacing w:w="0" w:type="dxa"/>
          <w:jc w:val="center"/>
        </w:trPr>
        <w:tc>
          <w:tcPr>
            <w:gridSpan w:val="2"/>
            <w:vMerge w:val="continue"/>
            <w:tcBorders>
              <w:left w:val="single" w:color="000000" w:sz="8" w:space="0"/>
              <w:bottom w:val="single" w:color="000000" w:sz="8" w:space="0"/>
              <w:right w:val="single" w:color="000000" w:sz="8" w:space="0"/>
            </w:tcBorders>
            <w:vAlign w:val="center"/>
          </w:tcPr>
          <w:p>
            <w:pPr>
              <w:rPr>
                <w:rFonts w:ascii="SimSun" w:hAnsi="SimSun" w:eastAsia="SimSun" w:cs="SimSun"/>
                <w:b w:val="0"/>
                <w:bCs w:val="0"/>
                <w:i w:val="0"/>
                <w:iCs w:val="0"/>
                <w:smallCaps w:val="0"/>
                <w:color w:val="000000"/>
                <w:sz w:val="21"/>
                <w:szCs w:val="21"/>
              </w:rPr>
            </w:pP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肉质:新鲜虾肉质坚实、细嫩。</w:t>
            </w:r>
          </w:p>
        </w:tc>
      </w:tr>
      <w:tr>
        <w:tblPrEx>
          <w:tblCellMar>
            <w:top w:w="15" w:type="dxa"/>
            <w:left w:w="15" w:type="dxa"/>
            <w:bottom w:w="15" w:type="dxa"/>
            <w:right w:w="15" w:type="dxa"/>
          </w:tblCellMar>
        </w:tblPrEx>
        <w:trPr>
          <w:tblCellSpacing w:w="0" w:type="dxa"/>
          <w:jc w:val="center"/>
        </w:trPr>
        <w:tc>
          <w:tcPr>
            <w:tcW w:w="2899" w:type="dxa"/>
            <w:gridSpan w:val="2"/>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冰冻虾</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应选择体型完整,外壳透明光亮,体表呈青白色或青绿色,头节与躯体紧连,肉体硬实而有韧性,须足无损蹯足卷体,体表无污秽黏附,无异常气味。</w:t>
            </w:r>
          </w:p>
        </w:tc>
      </w:tr>
      <w:tr>
        <w:tblPrEx>
          <w:tblCellMar>
            <w:top w:w="15" w:type="dxa"/>
            <w:left w:w="15" w:type="dxa"/>
            <w:bottom w:w="15" w:type="dxa"/>
            <w:right w:w="15" w:type="dxa"/>
          </w:tblCellMar>
        </w:tblPrEx>
        <w:trPr>
          <w:tblCellSpacing w:w="0" w:type="dxa"/>
          <w:jc w:val="center"/>
        </w:trPr>
        <w:tc>
          <w:tcPr>
            <w:tcW w:w="2899" w:type="dxa"/>
            <w:gridSpan w:val="2"/>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虾仁</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冻虾仁的外包装完整、清洁,虾仁肉质清洁、完整,呈淡青色或乳白色。</w:t>
            </w:r>
          </w:p>
        </w:tc>
      </w:tr>
      <w:tr>
        <w:tblPrEx>
          <w:tblCellMar>
            <w:top w:w="15" w:type="dxa"/>
            <w:left w:w="15" w:type="dxa"/>
            <w:bottom w:w="15" w:type="dxa"/>
            <w:right w:w="15" w:type="dxa"/>
          </w:tblCellMar>
        </w:tblPrEx>
        <w:trPr>
          <w:tblCellSpacing w:w="0" w:type="dxa"/>
          <w:jc w:val="center"/>
        </w:trPr>
        <w:tc>
          <w:tcPr>
            <w:tcW w:w="2899" w:type="dxa"/>
            <w:gridSpan w:val="2"/>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center"/>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贝类</w:t>
            </w:r>
          </w:p>
        </w:tc>
        <w:tc>
          <w:tcPr>
            <w:tcW w:w="6900" w:type="dxa"/>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pPr>
              <w:pStyle w:val="12"/>
              <w:spacing w:before="0" w:after="0" w:line="315" w:lineRule="atLeast"/>
              <w:ind w:left="0" w:right="0"/>
              <w:jc w:val="both"/>
              <w:rPr>
                <w:b w:val="0"/>
                <w:bCs w:val="0"/>
                <w:i w:val="0"/>
                <w:iCs w:val="0"/>
                <w:smallCaps w:val="0"/>
                <w:color w:val="000000"/>
                <w:sz w:val="21"/>
                <w:szCs w:val="21"/>
              </w:rPr>
            </w:pPr>
            <w:r>
              <w:rPr>
                <w:rFonts w:ascii="SimSun" w:hAnsi="SimSun" w:eastAsia="SimSun" w:cs="SimSun"/>
                <w:b w:val="0"/>
                <w:bCs w:val="0"/>
                <w:i w:val="0"/>
                <w:iCs w:val="0"/>
                <w:smallCaps w:val="0"/>
                <w:color w:val="000000"/>
                <w:sz w:val="21"/>
                <w:szCs w:val="21"/>
              </w:rPr>
              <w:t>壳要无破损和病灶；外壳光洁亮泽；肌肉紧密有弹性。</w:t>
            </w:r>
          </w:p>
        </w:tc>
      </w:tr>
    </w:tbl>
    <w:p>
      <w:pPr>
        <w:pStyle w:val="12"/>
        <w:spacing w:before="0" w:after="0" w:line="360" w:lineRule="auto"/>
        <w:ind w:left="0" w:right="0" w:firstLine="420"/>
        <w:jc w:val="both"/>
        <w:rPr>
          <w:sz w:val="21"/>
          <w:szCs w:val="21"/>
        </w:rPr>
      </w:pPr>
      <w:r>
        <w:rPr>
          <w:rFonts w:ascii="SimSun" w:hAnsi="SimSun" w:eastAsia="SimSun" w:cs="SimSun"/>
          <w:sz w:val="21"/>
          <w:szCs w:val="21"/>
        </w:rPr>
        <w:t>以上为部分原材料明细，包括但不限于此，若提供的原材料未在明细中体现，按照国家质量检测标准、环保标准、出厂标准及相关行业标准供货。</w:t>
      </w:r>
    </w:p>
    <w:p>
      <w:pPr>
        <w:pStyle w:val="12"/>
        <w:spacing w:before="0" w:after="0" w:line="360" w:lineRule="auto"/>
        <w:ind w:left="0" w:right="0" w:firstLine="420"/>
        <w:jc w:val="both"/>
        <w:rPr>
          <w:sz w:val="21"/>
          <w:szCs w:val="21"/>
        </w:rPr>
      </w:pPr>
      <w:r>
        <w:rPr>
          <w:rFonts w:ascii="SimSun" w:hAnsi="SimSun" w:eastAsia="SimSun" w:cs="SimSun"/>
          <w:sz w:val="21"/>
          <w:szCs w:val="21"/>
        </w:rPr>
        <w:t>（三）定价方式</w:t>
      </w:r>
    </w:p>
    <w:p>
      <w:pPr>
        <w:pStyle w:val="12"/>
        <w:spacing w:before="0" w:after="0" w:line="360" w:lineRule="auto"/>
        <w:ind w:left="0" w:right="0" w:firstLine="420"/>
        <w:jc w:val="both"/>
        <w:rPr>
          <w:sz w:val="21"/>
          <w:szCs w:val="21"/>
        </w:rPr>
      </w:pPr>
      <w:r>
        <w:rPr>
          <w:rFonts w:ascii="SimSun" w:hAnsi="SimSun" w:eastAsia="SimSun" w:cs="SimSun"/>
          <w:sz w:val="21"/>
          <w:szCs w:val="21"/>
        </w:rPr>
        <w:t>本项目采用固定折扣率报价方式，最高折扣率为100%。</w:t>
      </w:r>
    </w:p>
    <w:p>
      <w:pPr>
        <w:pStyle w:val="12"/>
        <w:spacing w:before="0" w:after="0" w:line="360" w:lineRule="auto"/>
        <w:ind w:left="0" w:right="0" w:firstLine="420"/>
        <w:jc w:val="both"/>
        <w:rPr>
          <w:sz w:val="21"/>
          <w:szCs w:val="21"/>
        </w:rPr>
      </w:pPr>
      <w:r>
        <w:rPr>
          <w:rFonts w:ascii="SimSun" w:hAnsi="SimSun" w:eastAsia="SimSun" w:cs="SimSun"/>
          <w:sz w:val="21"/>
          <w:szCs w:val="21"/>
        </w:rPr>
        <w:t>最终结算价格=参考价格*投标人所报折扣率。</w:t>
      </w:r>
    </w:p>
    <w:p>
      <w:pPr>
        <w:pStyle w:val="12"/>
        <w:spacing w:before="0" w:after="0" w:line="360" w:lineRule="auto"/>
        <w:ind w:left="0" w:right="0" w:firstLine="420"/>
        <w:jc w:val="both"/>
        <w:rPr>
          <w:sz w:val="21"/>
          <w:szCs w:val="21"/>
        </w:rPr>
      </w:pPr>
      <w:r>
        <w:rPr>
          <w:rFonts w:ascii="SimSun" w:hAnsi="SimSun" w:eastAsia="SimSun" w:cs="SimSun"/>
          <w:sz w:val="21"/>
          <w:szCs w:val="21"/>
        </w:rPr>
        <w:t>参考价格：所有物品的价格均以当天青岛市城阳蔬菜水产品批发市场公布的中间参考价为参考依据，如当天青岛市城阳蔬菜水产品批发市场公布价格未出现该产品价格，可参考青岛市内其他市场出具的价格。</w:t>
      </w:r>
    </w:p>
    <w:p>
      <w:pPr>
        <w:pStyle w:val="12"/>
        <w:spacing w:before="0" w:after="0" w:line="360" w:lineRule="auto"/>
        <w:ind w:left="0" w:right="0" w:firstLine="420"/>
        <w:jc w:val="both"/>
        <w:rPr>
          <w:sz w:val="21"/>
          <w:szCs w:val="21"/>
        </w:rPr>
      </w:pPr>
      <w:r>
        <w:rPr>
          <w:rFonts w:ascii="SimSun" w:hAnsi="SimSun" w:eastAsia="SimSun" w:cs="SimSun"/>
          <w:sz w:val="21"/>
          <w:szCs w:val="21"/>
        </w:rPr>
        <w:t>（四）供货形式：</w:t>
      </w:r>
    </w:p>
    <w:p>
      <w:pPr>
        <w:pStyle w:val="12"/>
        <w:spacing w:before="0" w:after="0" w:line="360" w:lineRule="auto"/>
        <w:ind w:left="0" w:right="0" w:firstLine="420"/>
        <w:jc w:val="both"/>
        <w:rPr>
          <w:sz w:val="21"/>
          <w:szCs w:val="21"/>
        </w:rPr>
      </w:pPr>
      <w:r>
        <w:rPr>
          <w:rFonts w:ascii="SimSun" w:hAnsi="SimSun" w:eastAsia="SimSun" w:cs="SimSun"/>
          <w:sz w:val="21"/>
          <w:szCs w:val="21"/>
        </w:rPr>
        <w:t>通过自主询价、价格比对、质量比较等形式建立良好的质量和价格体系，确保价格的真实性和统一性，投标人应于供货当日早上5点30分前，送货到采购人指定地点。</w:t>
      </w:r>
    </w:p>
    <w:p>
      <w:pPr>
        <w:pStyle w:val="12"/>
        <w:spacing w:before="0" w:after="0" w:line="360" w:lineRule="auto"/>
        <w:ind w:left="842" w:right="0" w:hanging="360"/>
        <w:jc w:val="both"/>
        <w:rPr>
          <w:sz w:val="21"/>
          <w:szCs w:val="21"/>
        </w:rPr>
      </w:pPr>
      <w:r>
        <w:rPr>
          <w:rFonts w:ascii="SimSun" w:hAnsi="SimSun" w:eastAsia="SimSun" w:cs="SimSun"/>
          <w:sz w:val="21"/>
          <w:szCs w:val="21"/>
        </w:rPr>
        <w:t>1.价格比对及结算依据。</w:t>
      </w:r>
    </w:p>
    <w:p>
      <w:pPr>
        <w:pStyle w:val="12"/>
        <w:spacing w:before="0" w:after="0" w:line="360" w:lineRule="auto"/>
        <w:ind w:left="0" w:right="0" w:firstLine="420"/>
        <w:jc w:val="both"/>
        <w:rPr>
          <w:sz w:val="21"/>
          <w:szCs w:val="21"/>
        </w:rPr>
      </w:pPr>
      <w:r>
        <w:rPr>
          <w:rFonts w:ascii="SimSun" w:hAnsi="SimSun" w:eastAsia="SimSun" w:cs="SimSun"/>
          <w:sz w:val="21"/>
          <w:szCs w:val="21"/>
        </w:rPr>
        <w:t>日供类：按照分类直接对食堂供货。采取基准价格制度，投标人在基准供货价格（所有物品的价格均以当天青岛市城阳蔬菜水产品批发市场公布的中间参考价为参考依据，如当天青岛市城阳蔬菜水产品批发市场公布价格未出现该产品价格，可参考青岛市内其他市场出具的价格）的基础上，按照投标承诺比例下降后的价格作为结算依据。食堂负责货物验收，考核原料的数量和质量。</w:t>
      </w:r>
    </w:p>
    <w:p>
      <w:pPr>
        <w:pStyle w:val="12"/>
        <w:spacing w:before="0" w:after="0" w:line="360" w:lineRule="auto"/>
        <w:ind w:left="0" w:right="0" w:firstLine="420"/>
        <w:jc w:val="both"/>
        <w:rPr>
          <w:sz w:val="21"/>
          <w:szCs w:val="21"/>
        </w:rPr>
      </w:pPr>
      <w:r>
        <w:rPr>
          <w:rFonts w:ascii="SimSun" w:hAnsi="SimSun" w:eastAsia="SimSun" w:cs="SimSun"/>
          <w:sz w:val="21"/>
          <w:szCs w:val="21"/>
        </w:rPr>
        <w:t>非日供类：由已经确定的投标人，负责对食堂供货。采取基准价格制度，投标人在基准供货价格（所有物品的价格均以当天青岛市城阳蔬菜水产品批发市场公布的中间参考价为参考依据，如当天青岛市城阳蔬菜水产品批发市场公布价格未出现该产品价格，可参考青岛市内其他市场出具的价格）的基础上，按照投标承诺比例下降后的价格作为结算依据。食堂负责货物验收，考核原料的数量和质量。</w:t>
      </w:r>
    </w:p>
    <w:p>
      <w:pPr>
        <w:pStyle w:val="12"/>
        <w:spacing w:before="0" w:after="0" w:line="360" w:lineRule="auto"/>
        <w:ind w:left="0" w:right="0" w:firstLine="420"/>
        <w:jc w:val="both"/>
        <w:rPr>
          <w:sz w:val="21"/>
          <w:szCs w:val="21"/>
        </w:rPr>
      </w:pPr>
      <w:r>
        <w:rPr>
          <w:rFonts w:ascii="SimSun" w:hAnsi="SimSun" w:eastAsia="SimSun" w:cs="SimSun"/>
          <w:sz w:val="21"/>
          <w:szCs w:val="21"/>
        </w:rPr>
        <w:t>2.由于天气、市场等因素造成的原材料价格的突然变动，可以根据实际情况对已经确定的基准价格进行调整。</w:t>
      </w:r>
    </w:p>
    <w:p>
      <w:pPr>
        <w:pStyle w:val="12"/>
        <w:spacing w:before="0" w:after="0" w:line="360" w:lineRule="auto"/>
        <w:ind w:left="0" w:right="0" w:firstLine="420"/>
        <w:jc w:val="both"/>
        <w:rPr>
          <w:sz w:val="21"/>
          <w:szCs w:val="21"/>
        </w:rPr>
      </w:pPr>
      <w:r>
        <w:rPr>
          <w:rFonts w:ascii="SimSun" w:hAnsi="SimSun" w:eastAsia="SimSun" w:cs="SimSun"/>
          <w:sz w:val="21"/>
          <w:szCs w:val="21"/>
        </w:rPr>
        <w:t>3.投标人要确保原材料运输过程中的密闭性，避免原材料污染。</w:t>
      </w:r>
    </w:p>
    <w:p>
      <w:pPr>
        <w:pStyle w:val="12"/>
        <w:spacing w:before="0" w:after="0" w:line="360" w:lineRule="auto"/>
        <w:ind w:left="0" w:right="0" w:firstLine="420"/>
        <w:jc w:val="both"/>
        <w:rPr>
          <w:sz w:val="21"/>
          <w:szCs w:val="21"/>
        </w:rPr>
      </w:pPr>
      <w:r>
        <w:rPr>
          <w:rFonts w:ascii="SimSun" w:hAnsi="SimSun" w:eastAsia="SimSun" w:cs="SimSun"/>
          <w:sz w:val="21"/>
          <w:szCs w:val="21"/>
        </w:rPr>
        <w:t>4.投标人送交的货物必须是定量包装，要求称量必须与包装袋上标明的重量一致，采购人验收时抽样5％过秤，如发现有不足秤的（偏差3‰视为正常误差），则当批货物按抽样平均重量计算，如累计出现两次不足秤的，按该批货不足额的2倍扣除。</w:t>
      </w:r>
    </w:p>
    <w:p>
      <w:pPr>
        <w:pStyle w:val="12"/>
        <w:spacing w:before="0" w:after="0" w:line="360" w:lineRule="auto"/>
        <w:ind w:left="0" w:right="0" w:firstLine="420"/>
        <w:jc w:val="both"/>
        <w:rPr>
          <w:sz w:val="21"/>
          <w:szCs w:val="21"/>
        </w:rPr>
      </w:pPr>
      <w:r>
        <w:rPr>
          <w:rFonts w:ascii="SimSun" w:hAnsi="SimSun" w:eastAsia="SimSun" w:cs="SimSun"/>
          <w:sz w:val="21"/>
          <w:szCs w:val="21"/>
        </w:rPr>
        <w:t>5.投标人未能按期按质按量送货或者所送货物不符合合同规定的，采购人有权拒收。未能按期按量送达，或因质量问题被拒收，影响食堂正常工作的，应追究投标人责任，并有权停止继续合作。因货物质量造成食品安全事故的，追究中标人的相关法律责任。</w:t>
      </w:r>
    </w:p>
    <w:p>
      <w:pPr>
        <w:pStyle w:val="12"/>
        <w:spacing w:before="0" w:after="0" w:line="360" w:lineRule="auto"/>
        <w:ind w:left="0" w:right="0" w:firstLine="420"/>
        <w:jc w:val="both"/>
        <w:rPr>
          <w:sz w:val="21"/>
          <w:szCs w:val="21"/>
        </w:rPr>
      </w:pPr>
      <w:r>
        <w:rPr>
          <w:rFonts w:ascii="SimSun" w:hAnsi="SimSun" w:eastAsia="SimSun" w:cs="SimSun"/>
          <w:sz w:val="21"/>
          <w:szCs w:val="21"/>
        </w:rPr>
        <w:t>6.投标人不得部分或全部转让其应履行的合同义务，如有发现，经核实后采购人可终止其供货资格。</w:t>
      </w:r>
    </w:p>
    <w:p>
      <w:pPr>
        <w:pStyle w:val="12"/>
        <w:spacing w:before="0" w:after="0" w:line="360" w:lineRule="auto"/>
        <w:ind w:left="0" w:right="0" w:firstLine="420"/>
        <w:jc w:val="both"/>
        <w:rPr>
          <w:sz w:val="21"/>
          <w:szCs w:val="21"/>
        </w:rPr>
      </w:pPr>
      <w:r>
        <w:rPr>
          <w:rFonts w:ascii="SimSun" w:hAnsi="SimSun" w:eastAsia="SimSun" w:cs="SimSun"/>
          <w:sz w:val="21"/>
          <w:szCs w:val="21"/>
        </w:rPr>
        <w:t>（五）日常监督</w:t>
      </w:r>
    </w:p>
    <w:p>
      <w:pPr>
        <w:pStyle w:val="12"/>
        <w:spacing w:before="0" w:after="0" w:line="360" w:lineRule="auto"/>
        <w:ind w:left="0" w:right="0" w:firstLine="420"/>
        <w:jc w:val="both"/>
        <w:rPr>
          <w:sz w:val="21"/>
          <w:szCs w:val="21"/>
        </w:rPr>
      </w:pPr>
      <w:r>
        <w:rPr>
          <w:rFonts w:ascii="SimSun" w:hAnsi="SimSun" w:eastAsia="SimSun" w:cs="SimSun"/>
          <w:sz w:val="21"/>
          <w:szCs w:val="21"/>
        </w:rPr>
        <w:t>1.采购人应定期组织对食堂原材料采购流程及价格质量进行抽查和监管。</w:t>
      </w:r>
    </w:p>
    <w:p>
      <w:pPr>
        <w:pStyle w:val="12"/>
        <w:spacing w:before="0" w:after="0" w:line="360" w:lineRule="auto"/>
        <w:ind w:left="0" w:right="0" w:firstLine="420"/>
        <w:jc w:val="both"/>
        <w:rPr>
          <w:sz w:val="21"/>
          <w:szCs w:val="21"/>
        </w:rPr>
      </w:pPr>
      <w:r>
        <w:rPr>
          <w:rFonts w:ascii="SimSun" w:hAnsi="SimSun" w:eastAsia="SimSun" w:cs="SimSun"/>
          <w:sz w:val="21"/>
          <w:szCs w:val="21"/>
        </w:rPr>
        <w:t>2.采购人应定期对原材料采购进行抽查监督，从供货质量、价格、服务等方面进行量化考评。对于价格畸高、质量较差，或者认定食材不符合要求的，责令退回更换，或者责任整改，由此导致的相关责任由中标方承担。</w:t>
      </w:r>
    </w:p>
    <w:p>
      <w:pPr>
        <w:pStyle w:val="12"/>
        <w:spacing w:before="0" w:after="0" w:line="360" w:lineRule="auto"/>
        <w:ind w:left="0" w:right="0" w:firstLine="525"/>
        <w:jc w:val="both"/>
        <w:rPr>
          <w:sz w:val="21"/>
          <w:szCs w:val="21"/>
        </w:rPr>
      </w:pPr>
      <w:r>
        <w:rPr>
          <w:rFonts w:ascii="SimSun" w:hAnsi="SimSun" w:eastAsia="SimSun" w:cs="SimSun"/>
          <w:sz w:val="21"/>
          <w:szCs w:val="21"/>
        </w:rPr>
        <w:t>3.采购人发现中标方提供的原材料不符合质量要求，有权决定作出处罚的方式和处罚金额。中标单位应严格遵守合同约定，保质保量做好食材采购工作，如出现质量问题或违反合同约定的，由采购人限期整改或者处罚；拒不改正或处罚两次以上的，采购人有权提前解除合同。</w:t>
      </w:r>
    </w:p>
    <w:p>
      <w:pPr>
        <w:pStyle w:val="2"/>
        <w:keepNext w:val="0"/>
        <w:spacing w:before="0" w:after="0" w:line="360" w:lineRule="auto"/>
        <w:jc w:val="center"/>
        <w:rPr>
          <w:rFonts w:ascii="仿宋_GB2312" w:hAnsi="仿宋_GB2312" w:eastAsia="仿宋_GB2312" w:cs="仿宋_GB2312"/>
          <w:b/>
          <w:bCs/>
          <w:sz w:val="32"/>
          <w:szCs w:val="32"/>
        </w:rPr>
      </w:pPr>
      <w:bookmarkStart w:id="20" w:name="_Toc256000018"/>
      <w:r>
        <w:rPr>
          <w:rFonts w:ascii="仿宋_GB2312" w:hAnsi="仿宋_GB2312" w:eastAsia="仿宋_GB2312" w:cs="仿宋_GB2312"/>
          <w:kern w:val="36"/>
        </w:rPr>
        <w:t>3项目需求</w:t>
      </w:r>
      <w:bookmarkEnd w:id="20"/>
    </w:p>
    <w:p>
      <w:pPr>
        <w:pStyle w:val="3"/>
        <w:keepNext w:val="0"/>
        <w:spacing w:before="0" w:after="0" w:line="360" w:lineRule="auto"/>
        <w:rPr>
          <w:rFonts w:ascii="仿宋_GB2312" w:hAnsi="仿宋_GB2312" w:eastAsia="仿宋_GB2312" w:cs="仿宋_GB2312"/>
          <w:b/>
          <w:bCs/>
          <w:sz w:val="28"/>
          <w:szCs w:val="28"/>
        </w:rPr>
      </w:pPr>
      <w:bookmarkStart w:id="21" w:name="_Toc256000019"/>
      <w:r>
        <w:rPr>
          <w:rFonts w:ascii="仿宋_GB2312" w:hAnsi="仿宋_GB2312" w:eastAsia="仿宋_GB2312" w:cs="仿宋_GB2312"/>
          <w:i w:val="0"/>
          <w:iCs w:val="0"/>
        </w:rPr>
        <w:t>3.1总体要求</w:t>
      </w:r>
      <w:bookmarkEnd w:id="21"/>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1.中标人的食材须符合《中华人民共和国食品卫生法》要求。</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2.所供商品须符合国家行业生产及经营标准，货真价实，均能提供相应批次的合格检验证明。</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3.中标人所提供的货物各项技术指标须完全符合国家有关质量检测、环保标准及产品出厂标准。</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4.所有货物指标要符合国家强制性标准要求，中标人所供应的产品均具有检验合格报告。</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5.中标人须负责货物的运输、质量检测等工作，所产生的费用由中标人负责。</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6.价格参考依据：以当天青岛市城阳蔬菜水产品批发市场公布的中间价为参考依据。</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7.采购人提前一天以邮件、传真或电话方式向投标人下订单，订单内容包括原材料的名称、规格、数量等。</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8.中标人在项目所在地至少有一个配送中心，提供具体地址（提供租赁合同或自有房产等相关证明）和负责人资料及联系方式。</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9.中标人须在接到采购人订单之日的第二天5：30前（或与采购人约定的时间）将采购人所订购的货物送至采购人指定地点。如果采购人临时改变订购的货物种类、规格、数量等，中标人须在接到通知后2小时内前将货物送达，待采购人验收、核对后，供货才算完成。</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10.中标人每天需做好各种食品的索证记录，按采购人的要求提交。</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11.中标人所供食材应保持较好的外观和质量等级，符合国家食品部门的有关标准，保证无异味、无霉烂变质，肉类保证来源于各地政府定点屠宰厂（场），供货时须提交当批次有效的动物检疫合格证原件或复印件，鲜肉确保每日新鲜（当日屠宰），各类熟食须注明供货渠道及包装方式。</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12.中标人所提供的货物须符合卫生标准和营养要求，无毒、无害、具有良好的感官性状以及满足采购人的要求，每次送交的所有货品都要注明来源。否则，采购人有权退货，中标人须在60分钟内予以退换补货。中标人在每一次送货时，要将肉菜等的卫生检验报告和货物供货清单随同交到采购人指定的负责人手中。</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13.每次送货，中标人须委派专门负责人，负责货物的运输、过秤，并协助采购人验收货品，货品的品种和重量以采购人验收的结果为准。</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14.中标人送货车辆应实行1小时配送圈运作，肉类、鱼类和冰鲜类等需冷藏保鲜的食品，用冷藏车配送，保证肉类中心温度控制在-2 至7℃的范围之内，保证运输过程冷链不中断。</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15.响应机制：在合同执行过程中采购人可根据实际情况对需求进行调整，中标人在接到采购人通知后6个小时内须做出反应。</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16.中标人经营场所具备净菜工作间，能够为采购人提供净菜服务。</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17.中标人应确保食品存储的场所、设备保持清洁。应当在固定的场所进行存储，定期清扫，保证无积尘、无食品残渣，无霉斑、鼠迹、苍蝇、蟑螂，不得存放有毒、有害物品及个人生活用品。</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18.对小量常用品的临时需求，能做到1小时内送到。对不合格产品，需及时更换，1小时内送到。</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19.采购人有权要求中标人配合相应货品的更换工作，保质期过期的货品，免费退换。</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20.特殊情况或紧急所需要食材，中标人无法在要求时间内提供的，可委托采购人代买，货款由中标人支付。</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21.中标人在合同履行期间内保证对采购人的货物供应，若中标后反悔或不能履行合同的，采购人有权单方终止合同，由此产生的一切经济损失由中标人自行承担。</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22.按合同约定供货，中标人不得转包、分包，否则采购人有权单方面终止本合同，中标人承担由此给采购人造成的一切损失。</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23.中标人应做好本单位工作人员的教育工作，遵守采购单位各项规定。</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24.中标人除不可抗力因素外，不得因其他任何理由延迟送货。如遇特殊情况需推迟送货，应提前通知采购人。因中标人原因延误交货时间的（采购人要求推迟的除外），采购人有权自行采购，并由中标人承担由此产生的一切损失和费用。</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 xml:space="preserve">25.由采购人食堂管理人员对货物进行认真验收，对不符合规格要求的商品，中标人须无条件退货、换货；中标人未能履行合同所定事项，或供应不合格的、假冒伪劣、以次充好的商品，采购人退货后将记录在案，并有权要求投标人赔偿因此给采购人造成的一切损失并承担违约责任。情节严重的，采购人可单方面解除合同。 </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26.采购人有权进行不定期检查，有权对配送食材进行检测，必要时采取第三方有资质的检测机构来衡量食材质量问题，如果发现不符合合同规定的食品质量标准，采购人第一次给予书面警告，中标人要无条件收回所供应的食品并给予采购人书面答复说明原因，造成的损失由中标人负责，并在1小时内更换好所需食品。第二次采购人有权单方面解除食堂配送资格，并将情况反映采购监管部门。</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27.中标人被有效投诉2次或造成安全（监管和食品卫生）事故的，采购人可单方面可解除合同。</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28.中标人原则上应固定一人长期送货，如有特殊原因，应提前通知招标人，指派临时人员送货。</w:t>
      </w:r>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29.中标人应在规定时间内交货，如果中标人不能在规定时间交货，应该提前告知招标人，以便招标人做好应急准备。</w:t>
      </w:r>
    </w:p>
    <w:p>
      <w:pPr>
        <w:pStyle w:val="3"/>
        <w:keepNext w:val="0"/>
        <w:spacing w:before="0" w:after="0" w:line="360" w:lineRule="auto"/>
        <w:rPr>
          <w:rFonts w:ascii="仿宋_GB2312" w:hAnsi="仿宋_GB2312" w:eastAsia="仿宋_GB2312" w:cs="仿宋_GB2312"/>
          <w:b/>
          <w:bCs/>
          <w:sz w:val="28"/>
          <w:szCs w:val="28"/>
        </w:rPr>
      </w:pPr>
      <w:bookmarkStart w:id="22" w:name="_Toc256000020"/>
      <w:r>
        <w:rPr>
          <w:rFonts w:ascii="仿宋_GB2312" w:hAnsi="仿宋_GB2312" w:eastAsia="仿宋_GB2312" w:cs="仿宋_GB2312"/>
          <w:i w:val="0"/>
          <w:iCs w:val="0"/>
        </w:rPr>
        <w:t>3.2采购产品一览表</w:t>
      </w:r>
      <w:bookmarkEnd w:id="22"/>
    </w:p>
    <w:tbl>
      <w:tblPr>
        <w:tblStyle w:val="9"/>
        <w:tblW w:w="5000" w:type="pct"/>
        <w:tblInd w:w="30" w:type="dxa"/>
        <w:tblLayout w:type="autofit"/>
        <w:tblCellMar>
          <w:top w:w="15" w:type="dxa"/>
          <w:left w:w="15" w:type="dxa"/>
          <w:bottom w:w="15" w:type="dxa"/>
          <w:right w:w="15" w:type="dxa"/>
        </w:tblCellMar>
      </w:tblPr>
      <w:tblGrid>
        <w:gridCol w:w="906"/>
        <w:gridCol w:w="1632"/>
        <w:gridCol w:w="1633"/>
        <w:gridCol w:w="1633"/>
        <w:gridCol w:w="1633"/>
        <w:gridCol w:w="1633"/>
      </w:tblGrid>
      <w:tr>
        <w:tblPrEx>
          <w:tblCellMar>
            <w:top w:w="15" w:type="dxa"/>
            <w:left w:w="15" w:type="dxa"/>
            <w:bottom w:w="15" w:type="dxa"/>
            <w:right w:w="15" w:type="dxa"/>
          </w:tblCellMar>
        </w:tblPrEx>
        <w:tc>
          <w:tcPr>
            <w:tcW w:w="5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序号</w:t>
            </w:r>
          </w:p>
        </w:tc>
        <w:tc>
          <w:tcPr>
            <w:tcW w:w="9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产品类别</w:t>
            </w:r>
          </w:p>
        </w:tc>
        <w:tc>
          <w:tcPr>
            <w:tcW w:w="9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产品名称</w:t>
            </w:r>
          </w:p>
        </w:tc>
        <w:tc>
          <w:tcPr>
            <w:tcW w:w="9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数量</w:t>
            </w:r>
          </w:p>
        </w:tc>
        <w:tc>
          <w:tcPr>
            <w:tcW w:w="9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单位</w:t>
            </w:r>
          </w:p>
        </w:tc>
        <w:tc>
          <w:tcPr>
            <w:tcW w:w="9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备注</w:t>
            </w:r>
          </w:p>
        </w:tc>
      </w:tr>
      <w:tr>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粮食类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粮食类(包括：大米、面粉、玉米面、淀粉等)、调味品类、副食品类、禽蛋类、食用油类（花生油、大豆油、玉米油等）、奶制品类食材</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p>
        </w:tc>
      </w:tr>
      <w:tr>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蔬菜类、水果类食材</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蔬菜类、水果类食材</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p>
        </w:tc>
      </w:tr>
      <w:tr>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3</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肉产品类、水产品类食材</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肉产品类、水产品类食材</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p>
        </w:tc>
      </w:tr>
    </w:tbl>
    <w:p>
      <w:pPr>
        <w:pStyle w:val="3"/>
        <w:keepNext w:val="0"/>
        <w:spacing w:before="0" w:after="0" w:line="360" w:lineRule="auto"/>
        <w:rPr>
          <w:rFonts w:ascii="仿宋_GB2312" w:hAnsi="仿宋_GB2312" w:eastAsia="仿宋_GB2312" w:cs="仿宋_GB2312"/>
          <w:b/>
          <w:bCs/>
          <w:sz w:val="28"/>
          <w:szCs w:val="28"/>
        </w:rPr>
      </w:pPr>
      <w:bookmarkStart w:id="23" w:name="_Toc256000021"/>
      <w:r>
        <w:rPr>
          <w:rFonts w:ascii="仿宋_GB2312" w:hAnsi="仿宋_GB2312" w:eastAsia="仿宋_GB2312" w:cs="仿宋_GB2312"/>
          <w:i w:val="0"/>
          <w:iCs w:val="0"/>
        </w:rPr>
        <w:t>3.3采购产品详细清单及技术指标</w:t>
      </w:r>
      <w:bookmarkEnd w:id="23"/>
    </w:p>
    <w:p>
      <w:pPr>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采购文件（技术部分）中有标注★号的，为必备要求，必须满足，如未作出响应，将导致响应无效；#为重要内容、△为一般内容。</w:t>
      </w:r>
    </w:p>
    <w:p>
      <w:pPr>
        <w:pStyle w:val="3"/>
        <w:keepNext w:val="0"/>
        <w:spacing w:before="0" w:after="0" w:line="360" w:lineRule="auto"/>
        <w:rPr>
          <w:rFonts w:ascii="仿宋_GB2312" w:hAnsi="仿宋_GB2312" w:eastAsia="仿宋_GB2312" w:cs="仿宋_GB2312"/>
          <w:b/>
          <w:bCs/>
          <w:sz w:val="28"/>
          <w:szCs w:val="28"/>
        </w:rPr>
      </w:pPr>
      <w:bookmarkStart w:id="24" w:name="_Toc256000022"/>
      <w:r>
        <w:rPr>
          <w:rFonts w:ascii="仿宋_GB2312" w:hAnsi="仿宋_GB2312" w:eastAsia="仿宋_GB2312" w:cs="仿宋_GB2312"/>
          <w:i w:val="0"/>
          <w:iCs w:val="0"/>
        </w:rPr>
        <w:t>3.4服务要求</w:t>
      </w:r>
      <w:bookmarkEnd w:id="24"/>
    </w:p>
    <w:tbl>
      <w:tblPr>
        <w:tblStyle w:val="9"/>
        <w:tblW w:w="5000" w:type="pct"/>
        <w:tblInd w:w="30" w:type="dxa"/>
        <w:tblLayout w:type="autofit"/>
        <w:tblCellMar>
          <w:top w:w="15" w:type="dxa"/>
          <w:left w:w="15" w:type="dxa"/>
          <w:bottom w:w="15" w:type="dxa"/>
          <w:right w:w="15" w:type="dxa"/>
        </w:tblCellMar>
      </w:tblPr>
      <w:tblGrid>
        <w:gridCol w:w="906"/>
        <w:gridCol w:w="1632"/>
        <w:gridCol w:w="1633"/>
        <w:gridCol w:w="1633"/>
        <w:gridCol w:w="1633"/>
        <w:gridCol w:w="1633"/>
      </w:tblGrid>
      <w:tr>
        <w:tblPrEx>
          <w:tblCellMar>
            <w:top w:w="15" w:type="dxa"/>
            <w:left w:w="15" w:type="dxa"/>
            <w:bottom w:w="15" w:type="dxa"/>
            <w:right w:w="15" w:type="dxa"/>
          </w:tblCellMar>
        </w:tblPrEx>
        <w:tc>
          <w:tcPr>
            <w:tcW w:w="5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序号</w:t>
            </w:r>
          </w:p>
        </w:tc>
        <w:tc>
          <w:tcPr>
            <w:tcW w:w="9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指标种类</w:t>
            </w:r>
          </w:p>
        </w:tc>
        <w:tc>
          <w:tcPr>
            <w:tcW w:w="9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指标名称</w:t>
            </w:r>
          </w:p>
        </w:tc>
        <w:tc>
          <w:tcPr>
            <w:tcW w:w="9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指标内容</w:t>
            </w:r>
          </w:p>
        </w:tc>
        <w:tc>
          <w:tcPr>
            <w:tcW w:w="9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重要性</w:t>
            </w:r>
          </w:p>
        </w:tc>
        <w:tc>
          <w:tcPr>
            <w:tcW w:w="9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是否需要证明材料</w:t>
            </w:r>
          </w:p>
        </w:tc>
      </w:tr>
      <w:tr>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商务要求</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商务要求</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1.合同履行期限：自2026年12月13日至2027年12月12日，自合同生效之日起至合同全部权利义务履行完毕之日止。</w:t>
            </w:r>
            <w:r>
              <w:rPr>
                <w:rFonts w:ascii="仿宋_GB2312" w:hAnsi="仿宋_GB2312" w:eastAsia="仿宋_GB2312" w:cs="仿宋_GB2312"/>
                <w:b w:val="0"/>
                <w:bCs w:val="0"/>
                <w:i w:val="0"/>
                <w:iCs w:val="0"/>
                <w:smallCaps w:val="0"/>
                <w:color w:val="000000"/>
                <w:sz w:val="21"/>
                <w:szCs w:val="21"/>
              </w:rPr>
              <w:br w:type="textWrapping"/>
            </w:r>
            <w:r>
              <w:rPr>
                <w:rFonts w:ascii="仿宋_GB2312" w:hAnsi="仿宋_GB2312" w:eastAsia="仿宋_GB2312" w:cs="仿宋_GB2312"/>
                <w:b w:val="0"/>
                <w:bCs w:val="0"/>
                <w:i w:val="0"/>
                <w:iCs w:val="0"/>
                <w:smallCaps w:val="0"/>
                <w:color w:val="000000"/>
                <w:sz w:val="21"/>
                <w:szCs w:val="21"/>
              </w:rPr>
              <w:t>2.供货地点：平度市人民路75号及国家税务总局平度市税务局指定的其他地点。</w:t>
            </w:r>
            <w:r>
              <w:rPr>
                <w:rFonts w:ascii="仿宋_GB2312" w:hAnsi="仿宋_GB2312" w:eastAsia="仿宋_GB2312" w:cs="仿宋_GB2312"/>
                <w:b w:val="0"/>
                <w:bCs w:val="0"/>
                <w:i w:val="0"/>
                <w:iCs w:val="0"/>
                <w:smallCaps w:val="0"/>
                <w:color w:val="000000"/>
                <w:sz w:val="21"/>
                <w:szCs w:val="21"/>
              </w:rPr>
              <w:br w:type="textWrapping"/>
            </w:r>
            <w:r>
              <w:rPr>
                <w:rFonts w:ascii="仿宋_GB2312" w:hAnsi="仿宋_GB2312" w:eastAsia="仿宋_GB2312" w:cs="仿宋_GB2312"/>
                <w:b w:val="0"/>
                <w:bCs w:val="0"/>
                <w:i w:val="0"/>
                <w:iCs w:val="0"/>
                <w:smallCaps w:val="0"/>
                <w:color w:val="000000"/>
                <w:sz w:val="21"/>
                <w:szCs w:val="21"/>
              </w:rPr>
              <w:t>3.付款方式：采购人每月20日前对上月供货情况进行核对，核对无误后，中标供应商应向采购人开具合法、有效的发票，采购人在收到合法、有效的发票后10个工作日内支付相应款项。</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否</w:t>
            </w:r>
          </w:p>
        </w:tc>
      </w:tr>
    </w:tbl>
    <w:p>
      <w:pPr>
        <w:pStyle w:val="3"/>
        <w:keepNext w:val="0"/>
        <w:spacing w:before="0" w:after="0" w:line="360" w:lineRule="auto"/>
        <w:rPr>
          <w:rFonts w:ascii="仿宋_GB2312" w:hAnsi="仿宋_GB2312" w:eastAsia="仿宋_GB2312" w:cs="仿宋_GB2312"/>
          <w:b/>
          <w:bCs/>
          <w:sz w:val="28"/>
          <w:szCs w:val="28"/>
        </w:rPr>
      </w:pPr>
      <w:bookmarkStart w:id="25" w:name="_Toc256000023"/>
      <w:r>
        <w:rPr>
          <w:rFonts w:ascii="仿宋_GB2312" w:hAnsi="仿宋_GB2312" w:eastAsia="仿宋_GB2312" w:cs="仿宋_GB2312"/>
          <w:i w:val="0"/>
          <w:iCs w:val="0"/>
        </w:rPr>
        <w:t>3.5其他要求</w:t>
      </w:r>
      <w:bookmarkEnd w:id="25"/>
    </w:p>
    <w:p>
      <w:pPr>
        <w:pStyle w:val="12"/>
        <w:spacing w:before="0" w:after="0" w:line="360" w:lineRule="auto"/>
        <w:ind w:left="0" w:right="-334" w:firstLine="420"/>
        <w:jc w:val="both"/>
        <w:rPr>
          <w:sz w:val="21"/>
          <w:szCs w:val="21"/>
        </w:rPr>
      </w:pPr>
      <w:r>
        <w:rPr>
          <w:rFonts w:ascii="SimSun" w:hAnsi="SimSun" w:eastAsia="SimSun" w:cs="SimSun"/>
          <w:sz w:val="21"/>
          <w:szCs w:val="21"/>
        </w:rPr>
        <w:t>食堂原材料质量安全责任承诺书（内容格式附后）</w:t>
      </w:r>
    </w:p>
    <w:p>
      <w:pPr>
        <w:pStyle w:val="12"/>
        <w:spacing w:before="0" w:after="0" w:line="360" w:lineRule="auto"/>
        <w:ind w:left="0" w:right="-334"/>
        <w:jc w:val="center"/>
        <w:rPr>
          <w:sz w:val="21"/>
          <w:szCs w:val="21"/>
        </w:rPr>
      </w:pPr>
      <w:r>
        <w:rPr>
          <w:rFonts w:ascii="SimSun" w:hAnsi="SimSun" w:eastAsia="SimSun" w:cs="SimSun"/>
          <w:sz w:val="21"/>
          <w:szCs w:val="21"/>
        </w:rPr>
        <w:t>食堂原材料质量安全责任承诺书</w:t>
      </w:r>
    </w:p>
    <w:p>
      <w:pPr>
        <w:pStyle w:val="15"/>
        <w:spacing w:before="0" w:after="0" w:line="360" w:lineRule="auto"/>
        <w:rPr>
          <w:rFonts w:ascii="Times New Roman" w:hAnsi="Times New Roman" w:eastAsia="Times New Roman" w:cs="Times New Roman"/>
        </w:rPr>
      </w:pPr>
      <w:r>
        <w:rPr>
          <w:rFonts w:ascii="SimSun" w:hAnsi="SimSun" w:eastAsia="SimSun" w:cs="SimSun"/>
          <w:sz w:val="21"/>
          <w:szCs w:val="21"/>
        </w:rPr>
        <w:t> </w:t>
      </w:r>
    </w:p>
    <w:p>
      <w:pPr>
        <w:pStyle w:val="12"/>
        <w:spacing w:before="0" w:after="0" w:line="360" w:lineRule="auto"/>
        <w:ind w:left="0" w:right="0"/>
        <w:jc w:val="both"/>
        <w:rPr>
          <w:sz w:val="21"/>
          <w:szCs w:val="21"/>
        </w:rPr>
      </w:pPr>
      <w:r>
        <w:rPr>
          <w:rFonts w:ascii="SimSun" w:hAnsi="SimSun" w:eastAsia="SimSun" w:cs="SimSun"/>
          <w:sz w:val="21"/>
          <w:szCs w:val="21"/>
        </w:rPr>
        <w:t>国家税务总局平度市税务局：</w:t>
      </w:r>
    </w:p>
    <w:p>
      <w:pPr>
        <w:pStyle w:val="12"/>
        <w:spacing w:before="0" w:after="0" w:line="360" w:lineRule="auto"/>
        <w:ind w:left="0" w:right="0" w:firstLine="525"/>
        <w:jc w:val="both"/>
        <w:rPr>
          <w:sz w:val="21"/>
          <w:szCs w:val="21"/>
        </w:rPr>
      </w:pPr>
      <w:r>
        <w:rPr>
          <w:rFonts w:ascii="SimSun" w:hAnsi="SimSun" w:eastAsia="SimSun" w:cs="SimSun"/>
          <w:sz w:val="21"/>
          <w:szCs w:val="21"/>
        </w:rPr>
        <w:t>我方作为国家税务总局平度市税务局机关食堂原材料采购项目的（＿＿＿＿）类等食材原材料供应商，为杜绝各类食品安全事件，保障食品安全，明确食品安全责任，特向贵方做出以下承诺：</w:t>
      </w:r>
    </w:p>
    <w:p>
      <w:pPr>
        <w:pStyle w:val="12"/>
        <w:spacing w:before="0" w:after="0" w:line="360" w:lineRule="auto"/>
        <w:ind w:left="0" w:right="0" w:firstLine="525"/>
        <w:jc w:val="both"/>
        <w:rPr>
          <w:sz w:val="21"/>
          <w:szCs w:val="21"/>
        </w:rPr>
      </w:pPr>
      <w:r>
        <w:rPr>
          <w:rFonts w:ascii="SimSun" w:hAnsi="SimSun" w:eastAsia="SimSun" w:cs="SimSun"/>
          <w:sz w:val="21"/>
          <w:szCs w:val="21"/>
        </w:rPr>
        <w:t>一、我方向国家税务总局平度市税务局提供符合《食品安全法》等法律法规和行业规定的符合食品安全相关标准的合格原材料，并向贵方提供上述产品合格的证明文件。</w:t>
      </w:r>
    </w:p>
    <w:p>
      <w:pPr>
        <w:pStyle w:val="12"/>
        <w:spacing w:before="0" w:after="0" w:line="360" w:lineRule="auto"/>
        <w:ind w:left="0" w:right="0" w:firstLine="525"/>
        <w:jc w:val="both"/>
        <w:rPr>
          <w:sz w:val="21"/>
          <w:szCs w:val="21"/>
        </w:rPr>
      </w:pPr>
      <w:r>
        <w:rPr>
          <w:rFonts w:ascii="SimSun" w:hAnsi="SimSun" w:eastAsia="SimSun" w:cs="SimSun"/>
          <w:sz w:val="21"/>
          <w:szCs w:val="21"/>
        </w:rPr>
        <w:t>二、我方保证按照《餐饮服务食品采购索证索票管理规定》等相关法律法规及采购单位要求，提供每批次供货产品的质量检验、检疫报告和进货发票等有效票据。</w:t>
      </w:r>
    </w:p>
    <w:p>
      <w:pPr>
        <w:pStyle w:val="12"/>
        <w:spacing w:before="0" w:after="0" w:line="360" w:lineRule="auto"/>
        <w:ind w:left="0" w:right="0" w:firstLine="525"/>
        <w:jc w:val="both"/>
        <w:rPr>
          <w:sz w:val="21"/>
          <w:szCs w:val="21"/>
        </w:rPr>
      </w:pPr>
      <w:r>
        <w:rPr>
          <w:rFonts w:ascii="SimSun" w:hAnsi="SimSun" w:eastAsia="SimSun" w:cs="SimSun"/>
          <w:sz w:val="21"/>
          <w:szCs w:val="21"/>
        </w:rPr>
        <w:t>三、我方保证提供的食堂原材料符合国家无公害标准，必须严格执行主管部门制定下发的食材安全监测规定及各种操作规程，每天对原材料进行农药（或其它有害物质）残留量快速检测，确保检测合格。</w:t>
      </w:r>
    </w:p>
    <w:p>
      <w:pPr>
        <w:pStyle w:val="12"/>
        <w:spacing w:before="0" w:after="0" w:line="360" w:lineRule="auto"/>
        <w:ind w:left="0" w:right="0" w:firstLine="525"/>
        <w:jc w:val="both"/>
        <w:rPr>
          <w:sz w:val="21"/>
          <w:szCs w:val="21"/>
        </w:rPr>
      </w:pPr>
      <w:r>
        <w:rPr>
          <w:rFonts w:ascii="SimSun" w:hAnsi="SimSun" w:eastAsia="SimSun" w:cs="SimSun"/>
          <w:sz w:val="21"/>
          <w:szCs w:val="21"/>
        </w:rPr>
        <w:t>四、我方严格遵守《食品安全法》规定，绝不提供下列食品：</w:t>
      </w:r>
    </w:p>
    <w:p>
      <w:pPr>
        <w:pStyle w:val="12"/>
        <w:spacing w:before="0" w:after="0" w:line="360" w:lineRule="auto"/>
        <w:ind w:left="0" w:right="0" w:firstLine="525"/>
        <w:jc w:val="both"/>
        <w:rPr>
          <w:sz w:val="21"/>
          <w:szCs w:val="21"/>
        </w:rPr>
      </w:pPr>
      <w:r>
        <w:rPr>
          <w:rFonts w:ascii="SimSun" w:hAnsi="SimSun" w:eastAsia="SimSun" w:cs="SimSun"/>
          <w:sz w:val="21"/>
          <w:szCs w:val="21"/>
        </w:rPr>
        <w:t>（一）用非食品原料生产的食品或者添加食品添加剂以外的化学物质和其他可能危害人体健康物质的食品，或者用回收食品作为原料生产的食品；</w:t>
      </w:r>
    </w:p>
    <w:p>
      <w:pPr>
        <w:pStyle w:val="12"/>
        <w:spacing w:before="0" w:after="0" w:line="360" w:lineRule="auto"/>
        <w:ind w:left="0" w:right="0" w:firstLine="525"/>
        <w:jc w:val="both"/>
        <w:rPr>
          <w:sz w:val="21"/>
          <w:szCs w:val="21"/>
        </w:rPr>
      </w:pPr>
      <w:r>
        <w:rPr>
          <w:rFonts w:ascii="SimSun" w:hAnsi="SimSun" w:eastAsia="SimSun" w:cs="SimSun"/>
          <w:sz w:val="21"/>
          <w:szCs w:val="21"/>
        </w:rPr>
        <w:t>（二）致病性微生物、农药残留、兽药残留、重金属、污染物质以及其他危害人体健康的物质含量超过食品安全标准限量的食品；</w:t>
      </w:r>
    </w:p>
    <w:p>
      <w:pPr>
        <w:pStyle w:val="12"/>
        <w:spacing w:before="0" w:after="0" w:line="360" w:lineRule="auto"/>
        <w:ind w:left="0" w:right="0" w:firstLine="525"/>
        <w:jc w:val="both"/>
        <w:rPr>
          <w:sz w:val="21"/>
          <w:szCs w:val="21"/>
        </w:rPr>
      </w:pPr>
      <w:r>
        <w:rPr>
          <w:rFonts w:ascii="SimSun" w:hAnsi="SimSun" w:eastAsia="SimSun" w:cs="SimSun"/>
          <w:sz w:val="21"/>
          <w:szCs w:val="21"/>
        </w:rPr>
        <w:t>（三）营养成分不符合食品安全标准的专供婴幼儿和其他特定人群的主辅食品；</w:t>
      </w:r>
    </w:p>
    <w:p>
      <w:pPr>
        <w:pStyle w:val="12"/>
        <w:spacing w:before="0" w:after="0" w:line="360" w:lineRule="auto"/>
        <w:ind w:left="0" w:right="0" w:firstLine="525"/>
        <w:jc w:val="both"/>
        <w:rPr>
          <w:sz w:val="21"/>
          <w:szCs w:val="21"/>
        </w:rPr>
      </w:pPr>
      <w:r>
        <w:rPr>
          <w:rFonts w:ascii="SimSun" w:hAnsi="SimSun" w:eastAsia="SimSun" w:cs="SimSun"/>
          <w:sz w:val="21"/>
          <w:szCs w:val="21"/>
        </w:rPr>
        <w:t>（四）腐败变质、油脂酸败、霉变生虫、污秽不洁、混有异物、掺假掺杂或者感官性状异常的食品；</w:t>
      </w:r>
    </w:p>
    <w:p>
      <w:pPr>
        <w:pStyle w:val="12"/>
        <w:spacing w:before="0" w:after="0" w:line="360" w:lineRule="auto"/>
        <w:ind w:left="0" w:right="0" w:firstLine="525"/>
        <w:jc w:val="both"/>
        <w:rPr>
          <w:sz w:val="21"/>
          <w:szCs w:val="21"/>
        </w:rPr>
      </w:pPr>
      <w:r>
        <w:rPr>
          <w:rFonts w:ascii="SimSun" w:hAnsi="SimSun" w:eastAsia="SimSun" w:cs="SimSun"/>
          <w:sz w:val="21"/>
          <w:szCs w:val="21"/>
        </w:rPr>
        <w:t>（五）病死、毒死或者死因不明的禽、畜、兽、水产动物肉类及其制品；</w:t>
      </w:r>
    </w:p>
    <w:p>
      <w:pPr>
        <w:pStyle w:val="12"/>
        <w:spacing w:before="0" w:after="0" w:line="360" w:lineRule="auto"/>
        <w:ind w:left="0" w:right="0" w:firstLine="525"/>
        <w:jc w:val="both"/>
        <w:rPr>
          <w:sz w:val="21"/>
          <w:szCs w:val="21"/>
        </w:rPr>
      </w:pPr>
      <w:r>
        <w:rPr>
          <w:rFonts w:ascii="SimSun" w:hAnsi="SimSun" w:eastAsia="SimSun" w:cs="SimSun"/>
          <w:sz w:val="21"/>
          <w:szCs w:val="21"/>
        </w:rPr>
        <w:t>（六）未经动物卫生监督机构检疫或者检疫不合格的肉类，或者未经检验或者检验不合格的肉类制品；</w:t>
      </w:r>
    </w:p>
    <w:p>
      <w:pPr>
        <w:pStyle w:val="12"/>
        <w:spacing w:before="0" w:after="0" w:line="360" w:lineRule="auto"/>
        <w:ind w:left="0" w:right="0" w:firstLine="525"/>
        <w:jc w:val="both"/>
        <w:rPr>
          <w:sz w:val="21"/>
          <w:szCs w:val="21"/>
        </w:rPr>
      </w:pPr>
      <w:r>
        <w:rPr>
          <w:rFonts w:ascii="SimSun" w:hAnsi="SimSun" w:eastAsia="SimSun" w:cs="SimSun"/>
          <w:sz w:val="21"/>
          <w:szCs w:val="21"/>
        </w:rPr>
        <w:t>（七）被包装材料、容器、运输工具等污染的食品；</w:t>
      </w:r>
    </w:p>
    <w:p>
      <w:pPr>
        <w:pStyle w:val="12"/>
        <w:spacing w:before="0" w:after="0" w:line="360" w:lineRule="auto"/>
        <w:ind w:left="0" w:right="0" w:firstLine="525"/>
        <w:jc w:val="both"/>
        <w:rPr>
          <w:sz w:val="21"/>
          <w:szCs w:val="21"/>
        </w:rPr>
      </w:pPr>
      <w:r>
        <w:rPr>
          <w:rFonts w:ascii="SimSun" w:hAnsi="SimSun" w:eastAsia="SimSun" w:cs="SimSun"/>
          <w:sz w:val="21"/>
          <w:szCs w:val="21"/>
        </w:rPr>
        <w:t>（八）超过保质期的食品；</w:t>
      </w:r>
    </w:p>
    <w:p>
      <w:pPr>
        <w:pStyle w:val="12"/>
        <w:spacing w:before="0" w:after="0" w:line="360" w:lineRule="auto"/>
        <w:ind w:left="0" w:right="0" w:firstLine="525"/>
        <w:jc w:val="both"/>
        <w:rPr>
          <w:sz w:val="21"/>
          <w:szCs w:val="21"/>
        </w:rPr>
      </w:pPr>
      <w:r>
        <w:rPr>
          <w:rFonts w:ascii="SimSun" w:hAnsi="SimSun" w:eastAsia="SimSun" w:cs="SimSun"/>
          <w:sz w:val="21"/>
          <w:szCs w:val="21"/>
        </w:rPr>
        <w:t>（九）无标签的预包装食品；</w:t>
      </w:r>
    </w:p>
    <w:p>
      <w:pPr>
        <w:pStyle w:val="12"/>
        <w:spacing w:before="0" w:after="0" w:line="360" w:lineRule="auto"/>
        <w:ind w:left="0" w:right="0" w:firstLine="525"/>
        <w:jc w:val="both"/>
        <w:rPr>
          <w:sz w:val="21"/>
          <w:szCs w:val="21"/>
        </w:rPr>
      </w:pPr>
      <w:r>
        <w:rPr>
          <w:rFonts w:ascii="SimSun" w:hAnsi="SimSun" w:eastAsia="SimSun" w:cs="SimSun"/>
          <w:sz w:val="21"/>
          <w:szCs w:val="21"/>
        </w:rPr>
        <w:t>（十）国家为防病等特殊需要明令禁止生产经营的食品；</w:t>
      </w:r>
    </w:p>
    <w:p>
      <w:pPr>
        <w:pStyle w:val="12"/>
        <w:spacing w:before="0" w:after="0" w:line="360" w:lineRule="auto"/>
        <w:ind w:left="0" w:right="0" w:firstLine="525"/>
        <w:jc w:val="both"/>
        <w:rPr>
          <w:sz w:val="21"/>
          <w:szCs w:val="21"/>
        </w:rPr>
      </w:pPr>
      <w:r>
        <w:rPr>
          <w:rFonts w:ascii="SimSun" w:hAnsi="SimSun" w:eastAsia="SimSun" w:cs="SimSun"/>
          <w:sz w:val="21"/>
          <w:szCs w:val="21"/>
        </w:rPr>
        <w:t>（十一）其他不符合食品安全标准或者要求的食品。</w:t>
      </w:r>
    </w:p>
    <w:p>
      <w:pPr>
        <w:pStyle w:val="12"/>
        <w:spacing w:before="0" w:after="0" w:line="360" w:lineRule="auto"/>
        <w:ind w:left="0" w:right="0" w:firstLine="525"/>
        <w:jc w:val="both"/>
        <w:rPr>
          <w:sz w:val="21"/>
          <w:szCs w:val="21"/>
        </w:rPr>
      </w:pPr>
      <w:r>
        <w:rPr>
          <w:rFonts w:ascii="SimSun" w:hAnsi="SimSun" w:eastAsia="SimSun" w:cs="SimSun"/>
          <w:sz w:val="21"/>
          <w:szCs w:val="21"/>
        </w:rPr>
        <w:t>五、若因我方提供的原材料本身存在质量问题，我方将无条件退换，并对因质量问题引起食物中毒等食源性疾病的发生和其他事故承担全部责任（包括但不限于食品安全责任、贵方客户的责任追究及贵方全部损失等），触犯刑法的，移交司法机关处理。</w:t>
      </w:r>
    </w:p>
    <w:p>
      <w:pPr>
        <w:pStyle w:val="12"/>
        <w:spacing w:before="0" w:after="0" w:line="360" w:lineRule="auto"/>
        <w:ind w:left="0" w:right="0" w:firstLine="525"/>
        <w:rPr>
          <w:sz w:val="21"/>
          <w:szCs w:val="21"/>
        </w:rPr>
      </w:pPr>
      <w:r>
        <w:rPr>
          <w:rFonts w:ascii="SimSun" w:hAnsi="SimSun" w:eastAsia="SimSun" w:cs="SimSun"/>
          <w:sz w:val="21"/>
          <w:szCs w:val="21"/>
        </w:rPr>
        <w:t>特此承诺！</w:t>
      </w:r>
    </w:p>
    <w:p>
      <w:pPr>
        <w:pStyle w:val="15"/>
        <w:spacing w:before="0" w:after="0" w:line="360" w:lineRule="auto"/>
        <w:rPr>
          <w:rFonts w:ascii="Times New Roman" w:hAnsi="Times New Roman" w:eastAsia="Times New Roman" w:cs="Times New Roman"/>
        </w:rPr>
      </w:pPr>
      <w:r>
        <w:rPr>
          <w:rFonts w:ascii="SimSun" w:hAnsi="SimSun" w:eastAsia="SimSun" w:cs="SimSun"/>
          <w:sz w:val="21"/>
          <w:szCs w:val="21"/>
        </w:rPr>
        <w:t> </w:t>
      </w:r>
    </w:p>
    <w:p>
      <w:pPr>
        <w:pStyle w:val="12"/>
        <w:spacing w:before="0" w:after="0" w:line="360" w:lineRule="auto"/>
        <w:ind w:left="0" w:right="480"/>
        <w:jc w:val="right"/>
        <w:rPr>
          <w:sz w:val="21"/>
          <w:szCs w:val="21"/>
        </w:rPr>
      </w:pPr>
      <w:r>
        <w:rPr>
          <w:rFonts w:ascii="SimSun" w:hAnsi="SimSun" w:eastAsia="SimSun" w:cs="SimSun"/>
          <w:sz w:val="21"/>
          <w:szCs w:val="21"/>
        </w:rPr>
        <w:t>投标供应商名称（公章）：</w:t>
      </w:r>
    </w:p>
    <w:p>
      <w:pPr>
        <w:pStyle w:val="15"/>
        <w:spacing w:before="0" w:after="0" w:line="360" w:lineRule="auto"/>
        <w:ind w:firstLine="5040"/>
        <w:rPr>
          <w:rFonts w:ascii="Times New Roman" w:hAnsi="Times New Roman" w:eastAsia="Times New Roman" w:cs="Times New Roman"/>
        </w:rPr>
      </w:pPr>
      <w:r>
        <w:rPr>
          <w:rFonts w:ascii="SimSun" w:hAnsi="SimSun" w:eastAsia="SimSun" w:cs="SimSun"/>
          <w:sz w:val="21"/>
          <w:szCs w:val="21"/>
        </w:rPr>
        <w:t>日期：    年   月   日</w:t>
      </w:r>
    </w:p>
    <w:p>
      <w:pPr>
        <w:pStyle w:val="12"/>
        <w:spacing w:before="0" w:after="0" w:line="360" w:lineRule="auto"/>
        <w:ind w:left="0" w:right="0"/>
        <w:jc w:val="both"/>
        <w:rPr>
          <w:sz w:val="21"/>
          <w:szCs w:val="21"/>
        </w:rPr>
      </w:pPr>
      <w:r>
        <w:rPr>
          <w:rFonts w:ascii="SimSun" w:hAnsi="SimSun" w:eastAsia="SimSun" w:cs="SimSun"/>
          <w:sz w:val="21"/>
          <w:szCs w:val="21"/>
        </w:rPr>
        <w:t> </w:t>
      </w:r>
    </w:p>
    <w:p>
      <w:pPr>
        <w:pStyle w:val="12"/>
        <w:spacing w:before="0" w:after="0" w:line="360" w:lineRule="auto"/>
        <w:ind w:left="0" w:right="0"/>
        <w:jc w:val="both"/>
        <w:rPr>
          <w:sz w:val="21"/>
          <w:szCs w:val="21"/>
        </w:rPr>
      </w:pPr>
      <w:r>
        <w:rPr>
          <w:rFonts w:ascii="SimSun" w:hAnsi="SimSun" w:eastAsia="SimSun" w:cs="SimSun"/>
          <w:sz w:val="21"/>
          <w:szCs w:val="21"/>
        </w:rPr>
        <w:t> </w:t>
      </w:r>
    </w:p>
    <w:p>
      <w:pPr>
        <w:pStyle w:val="2"/>
        <w:keepNext w:val="0"/>
        <w:spacing w:before="0" w:after="0" w:line="360" w:lineRule="auto"/>
        <w:jc w:val="center"/>
        <w:rPr>
          <w:rFonts w:ascii="仿宋_GB2312" w:hAnsi="仿宋_GB2312" w:eastAsia="仿宋_GB2312" w:cs="仿宋_GB2312"/>
          <w:b/>
          <w:bCs/>
          <w:sz w:val="32"/>
          <w:szCs w:val="32"/>
        </w:rPr>
      </w:pPr>
      <w:bookmarkStart w:id="26" w:name="_Toc256000024"/>
      <w:r>
        <w:rPr>
          <w:rFonts w:ascii="仿宋_GB2312" w:hAnsi="仿宋_GB2312" w:eastAsia="仿宋_GB2312" w:cs="仿宋_GB2312"/>
          <w:kern w:val="36"/>
        </w:rPr>
        <w:t>4人员要求</w:t>
      </w:r>
      <w:bookmarkEnd w:id="26"/>
    </w:p>
    <w:p>
      <w:pPr>
        <w:pStyle w:val="3"/>
        <w:keepNext w:val="0"/>
        <w:spacing w:before="0" w:after="0" w:line="360" w:lineRule="auto"/>
        <w:rPr>
          <w:rFonts w:ascii="仿宋_GB2312" w:hAnsi="仿宋_GB2312" w:eastAsia="仿宋_GB2312" w:cs="仿宋_GB2312"/>
          <w:b/>
          <w:bCs/>
          <w:sz w:val="28"/>
          <w:szCs w:val="28"/>
        </w:rPr>
      </w:pPr>
      <w:bookmarkStart w:id="27" w:name="_Toc256000025"/>
      <w:r>
        <w:rPr>
          <w:rFonts w:ascii="仿宋_GB2312" w:hAnsi="仿宋_GB2312" w:eastAsia="仿宋_GB2312" w:cs="仿宋_GB2312"/>
          <w:i w:val="0"/>
          <w:iCs w:val="0"/>
        </w:rPr>
        <w:t>4.1团队要求</w:t>
      </w:r>
      <w:bookmarkEnd w:id="27"/>
    </w:p>
    <w:p>
      <w:pPr>
        <w:pStyle w:val="4"/>
        <w:keepNext w:val="0"/>
        <w:spacing w:before="0" w:after="0" w:line="360" w:lineRule="auto"/>
        <w:rPr>
          <w:rFonts w:ascii="仿宋_GB2312" w:hAnsi="仿宋_GB2312" w:eastAsia="仿宋_GB2312" w:cs="仿宋_GB2312"/>
          <w:b/>
          <w:bCs/>
          <w:sz w:val="28"/>
          <w:szCs w:val="28"/>
        </w:rPr>
      </w:pPr>
      <w:bookmarkStart w:id="28" w:name="_Toc256000026"/>
      <w:r>
        <w:rPr>
          <w:rFonts w:ascii="仿宋_GB2312" w:hAnsi="仿宋_GB2312" w:eastAsia="仿宋_GB2312" w:cs="仿宋_GB2312"/>
          <w:sz w:val="28"/>
          <w:szCs w:val="28"/>
        </w:rPr>
        <w:t>4.1.1基本要求</w:t>
      </w:r>
      <w:bookmarkEnd w:id="28"/>
    </w:p>
    <w:p>
      <w:pPr>
        <w:pStyle w:val="12"/>
        <w:spacing w:before="0" w:after="0" w:line="360" w:lineRule="auto"/>
        <w:ind w:firstLine="482"/>
        <w:rPr>
          <w:rFonts w:ascii="Times New Roman" w:hAnsi="Times New Roman" w:eastAsia="Times New Roman" w:cs="Times New Roman"/>
        </w:rPr>
      </w:pPr>
      <w:r>
        <w:rPr>
          <w:rFonts w:ascii="SimSun" w:hAnsi="SimSun" w:eastAsia="SimSun" w:cs="SimSun"/>
          <w:sz w:val="21"/>
          <w:szCs w:val="21"/>
        </w:rPr>
        <w:t>供货形式：</w:t>
      </w:r>
    </w:p>
    <w:p>
      <w:pPr>
        <w:pStyle w:val="12"/>
        <w:spacing w:before="0" w:after="0" w:line="360" w:lineRule="auto"/>
        <w:ind w:left="0" w:right="0" w:firstLine="420"/>
        <w:jc w:val="both"/>
        <w:rPr>
          <w:sz w:val="21"/>
          <w:szCs w:val="21"/>
        </w:rPr>
      </w:pPr>
      <w:r>
        <w:rPr>
          <w:rFonts w:ascii="SimSun" w:hAnsi="SimSun" w:eastAsia="SimSun" w:cs="SimSun"/>
          <w:sz w:val="21"/>
          <w:szCs w:val="21"/>
        </w:rPr>
        <w:t>通过自主询价、价格比对、质量比较等形式建立良好的质量和价格体系，确保价格的真实性和统一性，投标人应于供货当日早上5点30分前，送货到采购人指定地点。</w:t>
      </w:r>
    </w:p>
    <w:p>
      <w:pPr>
        <w:pStyle w:val="2"/>
        <w:keepNext w:val="0"/>
        <w:spacing w:before="0" w:after="0" w:line="360" w:lineRule="auto"/>
        <w:jc w:val="center"/>
        <w:rPr>
          <w:rFonts w:ascii="仿宋_GB2312" w:hAnsi="仿宋_GB2312" w:eastAsia="仿宋_GB2312" w:cs="仿宋_GB2312"/>
          <w:b/>
          <w:bCs/>
          <w:sz w:val="32"/>
          <w:szCs w:val="32"/>
        </w:rPr>
      </w:pPr>
      <w:bookmarkStart w:id="29" w:name="_Toc256000027"/>
      <w:r>
        <w:rPr>
          <w:rFonts w:ascii="仿宋_GB2312" w:hAnsi="仿宋_GB2312" w:eastAsia="仿宋_GB2312" w:cs="仿宋_GB2312"/>
          <w:kern w:val="36"/>
        </w:rPr>
        <w:t>5管理实施要求</w:t>
      </w:r>
      <w:bookmarkEnd w:id="29"/>
    </w:p>
    <w:p>
      <w:pPr>
        <w:pStyle w:val="12"/>
        <w:spacing w:before="0" w:after="0" w:line="360" w:lineRule="auto"/>
        <w:ind w:left="842" w:right="0" w:hanging="360"/>
        <w:jc w:val="both"/>
        <w:rPr>
          <w:sz w:val="21"/>
          <w:szCs w:val="21"/>
        </w:rPr>
      </w:pPr>
      <w:r>
        <w:rPr>
          <w:rFonts w:ascii="SimSun" w:hAnsi="SimSun" w:eastAsia="SimSun" w:cs="SimSun"/>
          <w:sz w:val="21"/>
          <w:szCs w:val="21"/>
        </w:rPr>
        <w:t>1.价格比对及结算依据。</w:t>
      </w:r>
    </w:p>
    <w:p>
      <w:pPr>
        <w:pStyle w:val="12"/>
        <w:spacing w:before="0" w:after="0" w:line="360" w:lineRule="auto"/>
        <w:ind w:left="0" w:right="0" w:firstLine="420"/>
        <w:jc w:val="both"/>
        <w:rPr>
          <w:sz w:val="21"/>
          <w:szCs w:val="21"/>
        </w:rPr>
      </w:pPr>
      <w:r>
        <w:rPr>
          <w:rFonts w:ascii="SimSun" w:hAnsi="SimSun" w:eastAsia="SimSun" w:cs="SimSun"/>
          <w:sz w:val="21"/>
          <w:szCs w:val="21"/>
        </w:rPr>
        <w:t>日供类：按照分类直接对食堂供货。采取基准价格制度，投标人在基准供货价格（所有物品的价格均以当天青岛市城阳蔬菜水产品批发市场公布的中间参考价为参考依据，如当天青岛市城阳蔬菜水产品批发市场公布价格未出现该产品价格，可参考青岛市内其他市场出具的价格）的基础上，按照投标承诺比例下降后的价格作为结算依据。食堂负责货物验收，考核原料的数量和质量。</w:t>
      </w:r>
    </w:p>
    <w:p>
      <w:pPr>
        <w:pStyle w:val="12"/>
        <w:spacing w:before="0" w:after="0" w:line="360" w:lineRule="auto"/>
        <w:ind w:left="0" w:right="0" w:firstLine="420"/>
        <w:jc w:val="both"/>
        <w:rPr>
          <w:sz w:val="21"/>
          <w:szCs w:val="21"/>
        </w:rPr>
      </w:pPr>
      <w:r>
        <w:rPr>
          <w:rFonts w:ascii="SimSun" w:hAnsi="SimSun" w:eastAsia="SimSun" w:cs="SimSun"/>
          <w:sz w:val="21"/>
          <w:szCs w:val="21"/>
        </w:rPr>
        <w:t>非日供类：由已经确定的投标人，负责对食堂供货。采取基准价格制度，投标人在基准供货价格（所有物品的价格均以当天青岛市城阳蔬菜水产品批发市场公布的中间参考价为参考依据，如当天青岛市城阳蔬菜水产品批发市场公布价格未出现该产品价格，可参考青岛市内其他市场出具的价格）的基础上，按照投标承诺比例下降后的价格作为结算依据。食堂负责货物验收，考核原料的数量和质量。</w:t>
      </w:r>
    </w:p>
    <w:p>
      <w:pPr>
        <w:pStyle w:val="12"/>
        <w:spacing w:before="0" w:after="0" w:line="360" w:lineRule="auto"/>
        <w:ind w:left="0" w:right="0" w:firstLine="420"/>
        <w:jc w:val="both"/>
        <w:rPr>
          <w:sz w:val="21"/>
          <w:szCs w:val="21"/>
        </w:rPr>
      </w:pPr>
      <w:r>
        <w:rPr>
          <w:rFonts w:ascii="SimSun" w:hAnsi="SimSun" w:eastAsia="SimSun" w:cs="SimSun"/>
          <w:sz w:val="21"/>
          <w:szCs w:val="21"/>
        </w:rPr>
        <w:t>2.由于天气、市场等因素造成的原材料价格的突然变动，可以根据实际情况对已经确定的基准价格进行调整。</w:t>
      </w:r>
    </w:p>
    <w:p>
      <w:pPr>
        <w:pStyle w:val="12"/>
        <w:spacing w:before="0" w:after="0" w:line="360" w:lineRule="auto"/>
        <w:ind w:left="0" w:right="0" w:firstLine="420"/>
        <w:jc w:val="both"/>
        <w:rPr>
          <w:sz w:val="21"/>
          <w:szCs w:val="21"/>
        </w:rPr>
      </w:pPr>
      <w:r>
        <w:rPr>
          <w:rFonts w:ascii="SimSun" w:hAnsi="SimSun" w:eastAsia="SimSun" w:cs="SimSun"/>
          <w:sz w:val="21"/>
          <w:szCs w:val="21"/>
        </w:rPr>
        <w:t>3.投标人要确保原材料运输过程中的密闭性，避免原材料污染。</w:t>
      </w:r>
    </w:p>
    <w:p>
      <w:pPr>
        <w:pStyle w:val="12"/>
        <w:spacing w:before="0" w:after="0" w:line="360" w:lineRule="auto"/>
        <w:ind w:left="0" w:right="0" w:firstLine="420"/>
        <w:jc w:val="both"/>
        <w:rPr>
          <w:sz w:val="21"/>
          <w:szCs w:val="21"/>
        </w:rPr>
      </w:pPr>
      <w:r>
        <w:rPr>
          <w:rFonts w:ascii="SimSun" w:hAnsi="SimSun" w:eastAsia="SimSun" w:cs="SimSun"/>
          <w:sz w:val="21"/>
          <w:szCs w:val="21"/>
        </w:rPr>
        <w:t>4.投标人送交的货物必须是定量包装，要求称量必须与包装袋上标明的重量一致，采购人验收时抽样5％过秤，如发现有不足秤的（偏差3‰视为正常误差），则当批货物按抽样平均重量计算，如累计出现两次不足秤的，按该批货不足额的2倍扣除。</w:t>
      </w:r>
    </w:p>
    <w:p>
      <w:pPr>
        <w:pStyle w:val="12"/>
        <w:spacing w:before="0" w:after="0" w:line="360" w:lineRule="auto"/>
        <w:ind w:left="0" w:right="0" w:firstLine="420"/>
        <w:jc w:val="both"/>
        <w:rPr>
          <w:sz w:val="21"/>
          <w:szCs w:val="21"/>
        </w:rPr>
      </w:pPr>
      <w:r>
        <w:rPr>
          <w:rFonts w:ascii="SimSun" w:hAnsi="SimSun" w:eastAsia="SimSun" w:cs="SimSun"/>
          <w:sz w:val="21"/>
          <w:szCs w:val="21"/>
        </w:rPr>
        <w:t>5.投标人未能按期按质按量送货或者所送货物不符合合同规定的，采购人有权拒收。未能按期按量送达，或因质量问题被拒收，影响食堂正常工作的，应追究投标人责任，并有权停止继续合作。因货物质量造成食品安全事故的，追究中标人的相关法律责任。</w:t>
      </w:r>
    </w:p>
    <w:p>
      <w:pPr>
        <w:pStyle w:val="12"/>
        <w:spacing w:before="0" w:after="0" w:line="360" w:lineRule="auto"/>
        <w:ind w:left="0" w:right="0" w:firstLine="420"/>
        <w:jc w:val="both"/>
        <w:rPr>
          <w:sz w:val="21"/>
          <w:szCs w:val="21"/>
        </w:rPr>
      </w:pPr>
      <w:r>
        <w:rPr>
          <w:rFonts w:ascii="SimSun" w:hAnsi="SimSun" w:eastAsia="SimSun" w:cs="SimSun"/>
          <w:sz w:val="21"/>
          <w:szCs w:val="21"/>
        </w:rPr>
        <w:t>6.投标人不得部分或全部转让其应履行的合同义务，如有发现，经核实后采购人可终止其供货资格。</w:t>
      </w:r>
    </w:p>
    <w:p>
      <w:pPr>
        <w:pStyle w:val="2"/>
        <w:keepNext w:val="0"/>
        <w:spacing w:before="0" w:after="0" w:line="360" w:lineRule="auto"/>
        <w:jc w:val="center"/>
        <w:rPr>
          <w:rFonts w:ascii="仿宋_GB2312" w:hAnsi="仿宋_GB2312" w:eastAsia="仿宋_GB2312" w:cs="仿宋_GB2312"/>
          <w:b/>
          <w:bCs/>
          <w:sz w:val="32"/>
          <w:szCs w:val="32"/>
        </w:rPr>
      </w:pPr>
      <w:bookmarkStart w:id="30" w:name="_Toc256000028"/>
      <w:r>
        <w:rPr>
          <w:rFonts w:ascii="仿宋_GB2312" w:hAnsi="仿宋_GB2312" w:eastAsia="仿宋_GB2312" w:cs="仿宋_GB2312"/>
          <w:kern w:val="36"/>
        </w:rPr>
        <w:t>6风险管控要求</w:t>
      </w:r>
      <w:bookmarkEnd w:id="30"/>
    </w:p>
    <w:p>
      <w:pPr>
        <w:pStyle w:val="12"/>
        <w:spacing w:before="0" w:after="0" w:line="360" w:lineRule="auto"/>
        <w:ind w:left="0" w:right="0" w:firstLine="420"/>
        <w:jc w:val="both"/>
        <w:rPr>
          <w:sz w:val="21"/>
          <w:szCs w:val="21"/>
        </w:rPr>
      </w:pPr>
      <w:r>
        <w:rPr>
          <w:rFonts w:ascii="SimSun" w:hAnsi="SimSun" w:eastAsia="SimSun" w:cs="SimSun"/>
          <w:sz w:val="21"/>
          <w:szCs w:val="21"/>
        </w:rPr>
        <w:t>1.采购人应定期组织对食堂原材料采购流程及价格质量进行抽查和监管。</w:t>
      </w:r>
    </w:p>
    <w:p>
      <w:pPr>
        <w:pStyle w:val="12"/>
        <w:spacing w:before="0" w:after="0" w:line="360" w:lineRule="auto"/>
        <w:ind w:left="0" w:right="0" w:firstLine="420"/>
        <w:jc w:val="both"/>
        <w:rPr>
          <w:sz w:val="21"/>
          <w:szCs w:val="21"/>
        </w:rPr>
      </w:pPr>
      <w:r>
        <w:rPr>
          <w:rFonts w:ascii="SimSun" w:hAnsi="SimSun" w:eastAsia="SimSun" w:cs="SimSun"/>
          <w:sz w:val="21"/>
          <w:szCs w:val="21"/>
        </w:rPr>
        <w:t>2.采购人应定期对原材料采购进行抽查监督，从供货质量、价格、服务等方面进行量化考评。对于价格畸高、质量较差，或者认定食材不符合要求的，责令退回更换，或者责任整改，由此导致的相关责任由中标方承担。</w:t>
      </w:r>
    </w:p>
    <w:p>
      <w:pPr>
        <w:pStyle w:val="12"/>
        <w:spacing w:before="0" w:after="0" w:line="360" w:lineRule="auto"/>
        <w:ind w:left="0" w:right="0" w:firstLine="525"/>
        <w:jc w:val="both"/>
        <w:rPr>
          <w:sz w:val="21"/>
          <w:szCs w:val="21"/>
        </w:rPr>
      </w:pPr>
      <w:r>
        <w:rPr>
          <w:rFonts w:ascii="SimSun" w:hAnsi="SimSun" w:eastAsia="SimSun" w:cs="SimSun"/>
          <w:sz w:val="21"/>
          <w:szCs w:val="21"/>
        </w:rPr>
        <w:t>3.采购人发现中标方提供的原材料不符合质量要求，有权决定作出处罚的方式和处罚金额。中标单位应严格遵守合同约定，保质保量做好食材采购工作，如出现质量问题或违反合同约定的，由采购人限期整改或者处罚；拒不改正或处罚两次以上的，采购人有权提前解除合同。</w:t>
      </w:r>
    </w:p>
    <w:p>
      <w:pPr>
        <w:pStyle w:val="2"/>
        <w:keepNext w:val="0"/>
        <w:spacing w:before="0" w:after="0" w:line="360" w:lineRule="auto"/>
        <w:jc w:val="center"/>
        <w:rPr>
          <w:rFonts w:ascii="仿宋_GB2312" w:hAnsi="仿宋_GB2312" w:eastAsia="仿宋_GB2312" w:cs="仿宋_GB2312"/>
          <w:b/>
          <w:bCs/>
          <w:sz w:val="32"/>
          <w:szCs w:val="32"/>
        </w:rPr>
      </w:pPr>
      <w:bookmarkStart w:id="31" w:name="_Toc256000029"/>
      <w:r>
        <w:rPr>
          <w:rFonts w:ascii="仿宋_GB2312" w:hAnsi="仿宋_GB2312" w:eastAsia="仿宋_GB2312" w:cs="仿宋_GB2312"/>
          <w:kern w:val="36"/>
        </w:rPr>
        <w:t>7履约验收要求</w:t>
      </w:r>
      <w:bookmarkEnd w:id="31"/>
    </w:p>
    <w:p>
      <w:pPr>
        <w:pStyle w:val="3"/>
        <w:keepNext w:val="0"/>
        <w:spacing w:before="0" w:after="0" w:line="360" w:lineRule="auto"/>
        <w:rPr>
          <w:rFonts w:ascii="仿宋_GB2312" w:hAnsi="仿宋_GB2312" w:eastAsia="仿宋_GB2312" w:cs="仿宋_GB2312"/>
          <w:b/>
          <w:bCs/>
          <w:sz w:val="28"/>
          <w:szCs w:val="28"/>
        </w:rPr>
      </w:pPr>
      <w:bookmarkStart w:id="32" w:name="_Toc256000030"/>
      <w:r>
        <w:rPr>
          <w:rFonts w:ascii="仿宋_GB2312" w:hAnsi="仿宋_GB2312" w:eastAsia="仿宋_GB2312" w:cs="仿宋_GB2312"/>
          <w:i w:val="0"/>
          <w:iCs w:val="0"/>
        </w:rPr>
        <w:t>7.1总体要求</w:t>
      </w:r>
      <w:bookmarkEnd w:id="32"/>
    </w:p>
    <w:tbl>
      <w:tblPr>
        <w:tblStyle w:val="9"/>
        <w:tblW w:w="5000" w:type="pct"/>
        <w:tblInd w:w="30" w:type="dxa"/>
        <w:tblLayout w:type="autofit"/>
        <w:tblCellMar>
          <w:top w:w="15" w:type="dxa"/>
          <w:left w:w="15" w:type="dxa"/>
          <w:bottom w:w="15" w:type="dxa"/>
          <w:right w:w="15" w:type="dxa"/>
        </w:tblCellMar>
      </w:tblPr>
      <w:tblGrid>
        <w:gridCol w:w="4535"/>
        <w:gridCol w:w="4535"/>
      </w:tblGrid>
      <w:tr>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验收名称</w:t>
            </w:r>
          </w:p>
        </w:tc>
        <w:tc>
          <w:tcPr>
            <w:tcW w:w="25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验收要求</w:t>
            </w:r>
          </w:p>
        </w:tc>
      </w:tr>
      <w:tr>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w:t>
            </w:r>
          </w:p>
        </w:tc>
      </w:tr>
      <w:tr>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第2次验收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w:t>
            </w:r>
          </w:p>
        </w:tc>
      </w:tr>
      <w:tr>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第3次验收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w:t>
            </w:r>
          </w:p>
        </w:tc>
      </w:tr>
      <w:tr>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第4次验收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w:t>
            </w:r>
          </w:p>
        </w:tc>
      </w:tr>
      <w:tr>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第5次验收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w:t>
            </w:r>
          </w:p>
        </w:tc>
      </w:tr>
      <w:tr>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第6次验收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w:t>
            </w:r>
          </w:p>
        </w:tc>
      </w:tr>
      <w:tr>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第7次验收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w:t>
            </w:r>
          </w:p>
        </w:tc>
      </w:tr>
      <w:tr>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第8次验收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w:t>
            </w:r>
          </w:p>
        </w:tc>
      </w:tr>
      <w:tr>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第9次验收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w:t>
            </w:r>
          </w:p>
        </w:tc>
      </w:tr>
      <w:tr>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第10次验收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w:t>
            </w:r>
          </w:p>
        </w:tc>
      </w:tr>
      <w:tr>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第11次验收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w:t>
            </w:r>
          </w:p>
        </w:tc>
      </w:tr>
      <w:tr>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第12次验收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w:t>
            </w:r>
          </w:p>
        </w:tc>
      </w:tr>
      <w:tr>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第13次验收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w:t>
            </w:r>
          </w:p>
        </w:tc>
      </w:tr>
    </w:tbl>
    <w:p>
      <w:pPr>
        <w:pStyle w:val="2"/>
        <w:keepNext w:val="0"/>
        <w:spacing w:before="0" w:after="0" w:line="360" w:lineRule="auto"/>
        <w:jc w:val="center"/>
        <w:rPr>
          <w:rFonts w:ascii="仿宋_GB2312" w:hAnsi="仿宋_GB2312" w:eastAsia="仿宋_GB2312" w:cs="仿宋_GB2312"/>
          <w:b/>
          <w:bCs/>
          <w:sz w:val="32"/>
          <w:szCs w:val="32"/>
        </w:rPr>
      </w:pPr>
      <w:bookmarkStart w:id="33" w:name="_Toc256000031"/>
      <w:r>
        <w:rPr>
          <w:rFonts w:ascii="仿宋_GB2312" w:hAnsi="仿宋_GB2312" w:eastAsia="仿宋_GB2312" w:cs="仿宋_GB2312"/>
          <w:kern w:val="36"/>
        </w:rPr>
        <w:t>8其他要求</w:t>
      </w:r>
      <w:bookmarkEnd w:id="33"/>
    </w:p>
    <w:p>
      <w:pPr>
        <w:pStyle w:val="3"/>
        <w:keepNext w:val="0"/>
        <w:spacing w:before="0" w:after="0" w:line="360" w:lineRule="auto"/>
        <w:rPr>
          <w:rFonts w:ascii="仿宋_GB2312" w:hAnsi="仿宋_GB2312" w:eastAsia="仿宋_GB2312" w:cs="仿宋_GB2312"/>
          <w:b/>
          <w:bCs/>
          <w:sz w:val="28"/>
          <w:szCs w:val="28"/>
        </w:rPr>
      </w:pPr>
      <w:bookmarkStart w:id="34" w:name="_Toc256000032"/>
      <w:r>
        <w:rPr>
          <w:rFonts w:ascii="仿宋_GB2312" w:hAnsi="仿宋_GB2312" w:eastAsia="仿宋_GB2312" w:cs="仿宋_GB2312"/>
          <w:i w:val="0"/>
          <w:iCs w:val="0"/>
        </w:rPr>
        <w:t>8.1必备要求</w:t>
      </w:r>
      <w:bookmarkEnd w:id="34"/>
    </w:p>
    <w:p>
      <w:pPr>
        <w:pStyle w:val="4"/>
        <w:keepNext w:val="0"/>
        <w:spacing w:before="0" w:after="0" w:line="360" w:lineRule="auto"/>
        <w:rPr>
          <w:rFonts w:ascii="仿宋_GB2312" w:hAnsi="仿宋_GB2312" w:eastAsia="仿宋_GB2312" w:cs="仿宋_GB2312"/>
          <w:b/>
          <w:bCs/>
          <w:sz w:val="28"/>
          <w:szCs w:val="28"/>
        </w:rPr>
      </w:pPr>
      <w:bookmarkStart w:id="35" w:name="_Toc256000033"/>
      <w:r>
        <w:rPr>
          <w:rFonts w:ascii="仿宋_GB2312" w:hAnsi="仿宋_GB2312" w:eastAsia="仿宋_GB2312" w:cs="仿宋_GB2312"/>
          <w:sz w:val="28"/>
          <w:szCs w:val="28"/>
        </w:rPr>
        <w:t>8.1.1通用必备要求</w:t>
      </w:r>
      <w:bookmarkEnd w:id="35"/>
    </w:p>
    <w:p>
      <w:pPr>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 xml:space="preserve">1.本项目中如涉及商品包装和快递包装的，其包装需求标准应不低于《关于印发&lt;商品包装政府采购需求标准（试行）&gt;、&lt;快递包装政府采购需求标准（试行）&gt;的通知》（财办库〔2020〕123 号）规定的包装要求，如有其他包装需求，详见采购文件技术部分相关章节。 </w:t>
      </w:r>
    </w:p>
    <w:p>
      <w:pPr>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 xml:space="preserve">2.本项目中如涉及网络关键设备或网络安全专用产品的，应严格执行国家互联网信息办公室、工业和信息化部、公安部、财政部和国家认证认可监督管理委员会 2023年第 1 号《关于调整网络安全专用产品安全管理有关事项的公告》及国家互联网信息办公室、工业和信息化部、公安部和国家认证认可监督管理委员会 2023 年第 2号《关于调整&lt;网络关键设备和网络安全专用产品目录&gt;的公告》等相关文件要求，所投标（响应）设备或产品至少符合以下条件之一：一是已由具备资格的机构安全认证合格或安全检测符合要求；二是已获得《计算机信息系统安全专用产品销售许可证》，且在有效期内。 </w:t>
      </w:r>
    </w:p>
    <w:p>
      <w:pPr>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 xml:space="preserve">3.本项目中如涉及国家强制性产品认证证书（CCC 认证证书）、电信设备进网许可证、无线电发射设备核准证等市场准入类资质的，应严格执行国家相关法律法规的要求。 </w:t>
      </w:r>
    </w:p>
    <w:p>
      <w:pPr>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以上相关要求，由供应商在响应时应答，在履约验收中，采购人将按照采购文件、中标/成交供应商响应文件、采购合同等对中标/成交供应商提供的货物和服务进行验收，必要时依法依规开展相应检测、认证。</w:t>
      </w:r>
    </w:p>
    <w:p>
      <w:pPr>
        <w:pStyle w:val="3"/>
        <w:keepNext w:val="0"/>
        <w:spacing w:before="0" w:after="0" w:line="360" w:lineRule="auto"/>
        <w:rPr>
          <w:rFonts w:ascii="仿宋_GB2312" w:hAnsi="仿宋_GB2312" w:eastAsia="仿宋_GB2312" w:cs="仿宋_GB2312"/>
          <w:b/>
          <w:bCs/>
          <w:sz w:val="28"/>
          <w:szCs w:val="28"/>
        </w:rPr>
      </w:pPr>
      <w:bookmarkStart w:id="36" w:name="_Toc256000034"/>
      <w:r>
        <w:rPr>
          <w:rFonts w:ascii="仿宋_GB2312" w:hAnsi="仿宋_GB2312" w:eastAsia="仿宋_GB2312" w:cs="仿宋_GB2312"/>
          <w:i w:val="0"/>
          <w:iCs w:val="0"/>
        </w:rPr>
        <w:t>8.2付款安排建议</w:t>
      </w:r>
      <w:bookmarkEnd w:id="36"/>
    </w:p>
    <w:tbl>
      <w:tblPr>
        <w:tblStyle w:val="9"/>
        <w:tblW w:w="5000" w:type="pct"/>
        <w:tblInd w:w="30" w:type="dxa"/>
        <w:tblLayout w:type="autofit"/>
        <w:tblCellMar>
          <w:top w:w="15" w:type="dxa"/>
          <w:left w:w="15" w:type="dxa"/>
          <w:bottom w:w="15" w:type="dxa"/>
          <w:right w:w="15" w:type="dxa"/>
        </w:tblCellMar>
      </w:tblPr>
      <w:tblGrid>
        <w:gridCol w:w="1814"/>
        <w:gridCol w:w="5442"/>
        <w:gridCol w:w="1814"/>
      </w:tblGrid>
      <w:tr>
        <w:tblPrEx>
          <w:tblCellMar>
            <w:top w:w="15" w:type="dxa"/>
            <w:left w:w="15" w:type="dxa"/>
            <w:bottom w:w="15" w:type="dxa"/>
            <w:right w:w="15"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付款名称</w:t>
            </w:r>
          </w:p>
        </w:tc>
        <w:tc>
          <w:tcPr>
            <w:tcW w:w="30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付款要求</w:t>
            </w:r>
          </w:p>
        </w:tc>
        <w:tc>
          <w:tcPr>
            <w:tcW w:w="10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付款比例(%)</w:t>
            </w:r>
          </w:p>
        </w:tc>
      </w:tr>
      <w:tr>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采购人每月20日前对上月供货情况进行核对，核对无误后，中标供应商应向采购人开具合法、有效的发票，采购人在收到合法、有效的发票后10个工作日内支付相应款项。</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4.35</w:t>
            </w:r>
          </w:p>
        </w:tc>
      </w:tr>
      <w:tr>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第2次付款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采购人每月20日前对上月供货情况进行核对，核对无误后，中标供应商应向采购人开具合法、有效的发票，采购人在收到合法、有效的发票后10个工作日内支付相应款项。</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w:t>
            </w:r>
          </w:p>
        </w:tc>
      </w:tr>
      <w:tr>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第3次付款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采购人每月20日前对上月供货情况进行核对，核对无误后，中标供应商应向采购人开具合法、有效的发票，采购人在收到合法、有效的发票后10个工作日内支付相应款项。</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w:t>
            </w:r>
          </w:p>
        </w:tc>
      </w:tr>
      <w:tr>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第4次付款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采购人每月20日前对上月供货情况进行核对，核对无误后，中标供应商应向采购人开具合法、有效的发票，采购人在收到合法、有效的发票后10个工作日内支付相应款项。</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w:t>
            </w:r>
          </w:p>
        </w:tc>
      </w:tr>
      <w:tr>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第5次付款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采购人每月20日前对上月供货情况进行核对，核对无误后，中标供应商应向采购人开具合法、有效的发票，采购人在收到合法、有效的发票后10个工作日内支付相应款项。</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w:t>
            </w:r>
          </w:p>
        </w:tc>
      </w:tr>
      <w:tr>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第6次付款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采购人每月20日前对上月供货情况进行核对，核对无误后，中标供应商应向采购人开具合法、有效的发票，采购人在收到合法、有效的发票后10个工作日内支付相应款项。</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w:t>
            </w:r>
          </w:p>
        </w:tc>
      </w:tr>
      <w:tr>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第7次付款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采购人每月20日前对上月供货情况进行核对，核对无误后，中标供应商应向采购人开具合法、有效的发票，采购人在收到合法、有效的发票后10个工作日内支付相应款项。</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w:t>
            </w:r>
          </w:p>
        </w:tc>
      </w:tr>
      <w:tr>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第8次付款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采购人每月20日前对上月供货情况进行核对，核对无误后，中标供应商应向采购人开具合法、有效的发票，采购人在收到合法、有效的发票后10个工作日内支付相应款项。</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w:t>
            </w:r>
          </w:p>
        </w:tc>
      </w:tr>
      <w:tr>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第9次付款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采购人每月20日前对上月供货情况进行核对，核对无误后，中标供应商应向采购人开具合法、有效的发票，采购人在收到合法、有效的发票后10个工作日内支付相应款项。</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w:t>
            </w:r>
          </w:p>
        </w:tc>
      </w:tr>
      <w:tr>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第10次付款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采购人每月20日前对上月供货情况进行核对，核对无误后，中标供应商应向采购人开具合法、有效的发票，采购人在收到合法、有效的发票后10个工作日内支付相应款项。</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w:t>
            </w:r>
          </w:p>
        </w:tc>
      </w:tr>
      <w:tr>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第11次付款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采购人每月20日前对上月供货情况进行核对，核对无误后，中标供应商应向采购人开具合法、有效的发票，采购人在收到合法、有效的发票后10个工作日内支付相应款项。</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w:t>
            </w:r>
          </w:p>
        </w:tc>
      </w:tr>
      <w:tr>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第12次付款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采购人每月20日前对上月供货情况进行核对，核对无误后，中标供应商应向采购人开具合法、有效的发票，采购人在收到合法、有效的发票后10个工作日内支付相应款项。</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w:t>
            </w:r>
          </w:p>
        </w:tc>
      </w:tr>
      <w:tr>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第13次付款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采购人每月20日前对上月供货情况进行核对，核对无误后，中标供应商应向采购人开具合法、有效的发票，采购人在收到合法、有效的发票后10个工作日内支付相应款项。</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4.35</w:t>
            </w:r>
          </w:p>
        </w:tc>
      </w:tr>
    </w:tbl>
    <w:p>
      <w:pPr>
        <w:pStyle w:val="3"/>
        <w:keepNext w:val="0"/>
        <w:spacing w:before="0" w:after="0" w:line="360" w:lineRule="auto"/>
        <w:rPr>
          <w:rFonts w:ascii="仿宋_GB2312" w:hAnsi="仿宋_GB2312" w:eastAsia="仿宋_GB2312" w:cs="仿宋_GB2312"/>
          <w:b/>
          <w:bCs/>
          <w:sz w:val="28"/>
          <w:szCs w:val="28"/>
        </w:rPr>
      </w:pPr>
      <w:bookmarkStart w:id="37" w:name="_Toc256000035"/>
      <w:r>
        <w:rPr>
          <w:rFonts w:ascii="仿宋_GB2312" w:hAnsi="仿宋_GB2312" w:eastAsia="仿宋_GB2312" w:cs="仿宋_GB2312"/>
          <w:i w:val="0"/>
          <w:iCs w:val="0"/>
        </w:rPr>
        <w:t>8.3其他要求</w:t>
      </w:r>
      <w:bookmarkEnd w:id="37"/>
    </w:p>
    <w:p>
      <w:pPr>
        <w:pStyle w:val="4"/>
        <w:keepNext w:val="0"/>
        <w:spacing w:before="0" w:after="0" w:line="360" w:lineRule="auto"/>
        <w:rPr>
          <w:rFonts w:ascii="仿宋_GB2312" w:hAnsi="仿宋_GB2312" w:eastAsia="仿宋_GB2312" w:cs="仿宋_GB2312"/>
          <w:b/>
          <w:bCs/>
          <w:sz w:val="28"/>
          <w:szCs w:val="28"/>
        </w:rPr>
      </w:pPr>
      <w:bookmarkStart w:id="38" w:name="_Toc256000036"/>
      <w:r>
        <w:rPr>
          <w:rFonts w:ascii="仿宋_GB2312" w:hAnsi="仿宋_GB2312" w:eastAsia="仿宋_GB2312" w:cs="仿宋_GB2312"/>
          <w:sz w:val="28"/>
          <w:szCs w:val="28"/>
        </w:rPr>
        <w:t>8.3.1保密要求</w:t>
      </w:r>
      <w:bookmarkEnd w:id="38"/>
    </w:p>
    <w:p>
      <w:pPr>
        <w:pStyle w:val="12"/>
        <w:spacing w:before="0" w:after="0" w:line="360" w:lineRule="auto"/>
        <w:ind w:firstLine="480"/>
        <w:rPr>
          <w:rFonts w:ascii="Times New Roman" w:hAnsi="Times New Roman" w:eastAsia="Times New Roman" w:cs="Times New Roman"/>
        </w:rPr>
      </w:pPr>
      <w:r>
        <w:rPr>
          <w:rFonts w:ascii="SimSun" w:hAnsi="SimSun" w:eastAsia="SimSun" w:cs="SimSun"/>
          <w:sz w:val="21"/>
          <w:szCs w:val="21"/>
        </w:rPr>
        <w:t>投标人组织机构及项目整体服务保密措施等能做到机构健全，建立完整的工作台帐、工作信息收集、反馈。</w:t>
      </w:r>
    </w:p>
    <w:p>
      <w:pPr>
        <w:spacing w:before="0" w:after="0" w:line="360" w:lineRule="auto"/>
        <w:jc w:val="left"/>
      </w:pPr>
    </w:p>
    <w:sectPr>
      <w:foot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Arial">
    <w:panose1 w:val="020B0604020202020204"/>
    <w:charset w:val="CC"/>
    <w:family w:val="swiss"/>
    <w:pitch w:val="default"/>
    <w:sig w:usb0="E0002AFF" w:usb1="C0007843" w:usb2="00000009" w:usb3="00000000" w:csb0="400001FF" w:csb1="FFFF0000"/>
  </w:font>
  <w:font w:name="SimSun">
    <w:panose1 w:val="02010600030101010101"/>
    <w:charset w:val="86"/>
    <w:family w:val="auto"/>
    <w:pitch w:val="default"/>
    <w:sig w:usb0="00000003" w:usb1="288F0000" w:usb2="00000006" w:usb3="00000000" w:csb0="00040001" w:csb1="00000000"/>
  </w:font>
  <w:font w:name="仿宋_GB2312">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0" w:after="0" w:line="360" w:lineRule="auto"/>
      <w:jc w:val="center"/>
    </w:pPr>
    <w:r>
      <w:fldChar w:fldCharType="begin"/>
    </w:r>
    <w:r>
      <w:instrText xml:space="preserve"> PAGE </w:instrText>
    </w:r>
    <w:r>
      <w:fldChar w:fldCharType="separate"/>
    </w:r>
    <w:r>
      <w:t>19</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52FBE12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spacing w:before="240" w:after="60"/>
      <w:outlineLvl w:val="1"/>
    </w:pPr>
    <w:rPr>
      <w:rFonts w:ascii="Arial" w:hAnsi="Arial" w:cs="Arial"/>
      <w:b/>
      <w:bCs/>
      <w:i/>
      <w:iCs/>
      <w:sz w:val="28"/>
      <w:szCs w:val="28"/>
    </w:rPr>
  </w:style>
  <w:style w:type="paragraph" w:styleId="4">
    <w:name w:val="heading 3"/>
    <w:basedOn w:val="1"/>
    <w:next w:val="1"/>
    <w:qFormat/>
    <w:uiPriority w:val="0"/>
    <w:pPr>
      <w:keepNext/>
      <w:spacing w:before="240" w:after="60"/>
      <w:outlineLvl w:val="2"/>
    </w:pPr>
    <w:rPr>
      <w:rFonts w:ascii="Arial" w:hAnsi="Arial" w:cs="Arial"/>
      <w:b/>
      <w:bCs/>
      <w:sz w:val="26"/>
      <w:szCs w:val="26"/>
    </w:rPr>
  </w:style>
  <w:style w:type="paragraph" w:styleId="5">
    <w:name w:val="heading 4"/>
    <w:basedOn w:val="1"/>
    <w:next w:val="1"/>
    <w:qFormat/>
    <w:uiPriority w:val="0"/>
    <w:pPr>
      <w:keepNext/>
      <w:spacing w:before="240" w:after="60"/>
      <w:outlineLvl w:val="3"/>
    </w:pPr>
    <w:rPr>
      <w:b/>
      <w:bCs/>
      <w:sz w:val="28"/>
      <w:szCs w:val="28"/>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toc 3"/>
    <w:basedOn w:val="1"/>
    <w:next w:val="1"/>
    <w:qFormat/>
    <w:uiPriority w:val="0"/>
    <w:pPr>
      <w:ind w:left="480"/>
    </w:pPr>
  </w:style>
  <w:style w:type="paragraph" w:styleId="7">
    <w:name w:val="toc 1"/>
    <w:basedOn w:val="1"/>
    <w:next w:val="1"/>
    <w:qFormat/>
    <w:uiPriority w:val="0"/>
  </w:style>
  <w:style w:type="paragraph" w:styleId="8">
    <w:name w:val="toc 2"/>
    <w:basedOn w:val="1"/>
    <w:next w:val="1"/>
    <w:uiPriority w:val="0"/>
    <w:pPr>
      <w:ind w:left="240"/>
    </w:pPr>
  </w:style>
  <w:style w:type="character" w:styleId="11">
    <w:name w:val="Hyperlink"/>
    <w:basedOn w:val="10"/>
    <w:qFormat/>
    <w:uiPriority w:val="0"/>
    <w:rPr>
      <w:color w:val="0000FF"/>
      <w:u w:val="single"/>
    </w:rPr>
  </w:style>
  <w:style w:type="paragraph" w:customStyle="1" w:styleId="12">
    <w:name w:val="MsoNormal"/>
    <w:basedOn w:val="1"/>
    <w:uiPriority w:val="0"/>
  </w:style>
  <w:style w:type="paragraph" w:customStyle="1" w:styleId="13">
    <w:name w:val="MsoPlainText"/>
    <w:basedOn w:val="1"/>
    <w:qFormat/>
    <w:uiPriority w:val="0"/>
  </w:style>
  <w:style w:type="table" w:customStyle="1" w:styleId="14">
    <w:name w:val="MsoNormalTable"/>
    <w:basedOn w:val="9"/>
    <w:uiPriority w:val="0"/>
  </w:style>
  <w:style w:type="paragraph" w:customStyle="1" w:styleId="15">
    <w:name w:val="16"/>
    <w:basedOn w:val="1"/>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19</Pages>
  <Words>0</Words>
  <Characters>0</Characters>
  <Lines>1</Lines>
  <Paragraphs>1</Paragraphs>
  <TotalTime>1</TotalTime>
  <ScaleCrop>false</ScaleCrop>
  <LinksUpToDate>false</LinksUpToDate>
  <CharactersWithSpaces>0</CharactersWithSpaces>
  <Application>WPS Office_11.8.2.11880_F1E327BC-269C-435d-A152-05C5408002CA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2026-09-09T16:12:32Z</dcterms:created>
  <dc:creator>user</dc:creator>
  <cp:lastModifiedBy>user</cp:lastModifiedBy>
  <dcterms:modified xsi:type="dcterms:W3CDTF">2026-09-09T16:13:38Z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2052-11.8.2.11880</vt:lpwstr>
  </property>
  <property fmtid="{D5CDD505-2E9C-101B-9397-08002B2CF9AE}" pid="3" name="ICV">
    <vt:lpwstr>60BA2CD0C5E0E1DD3215A16A35B63003</vt:lpwstr>
  </property>
</Properties>
</file>