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AEDF4"/>
  <w:body>
    <w:p>
      <w:pPr>
        <w:spacing w:before="0" w:beforeLines="0" w:after="0" w:afterLines="0" w:line="240" w:lineRule="auto"/>
        <w:ind w:left="0" w:leftChars="0" w:right="0" w:rightChars="0" w:firstLine="0" w:firstLineChars="0"/>
        <w:jc w:val="both"/>
        <w:rPr>
          <w:rFonts w:hint="eastAsia" w:ascii="仿宋_GB2312" w:hAnsi="Times New Roman" w:cs="Times New Roman"/>
          <w:snapToGrid w:val="0"/>
          <w:kern w:val="0"/>
          <w:szCs w:val="20"/>
        </w:rPr>
      </w:pP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napToGrid w:val="0"/>
          <w:kern w:val="0"/>
          <w:sz w:val="52"/>
          <w:szCs w:val="52"/>
          <w:lang w:val="en-US" w:eastAsia="zh-CN"/>
        </w:rPr>
      </w:pPr>
      <w:r>
        <w:drawing>
          <wp:inline distT="0" distB="0" distL="114300" distR="114300">
            <wp:extent cx="1413510" cy="1447165"/>
            <wp:effectExtent l="0" t="0" r="3810" b="635"/>
            <wp:docPr id="17411" name="Picture 3" descr="E:\ppt\税务（彩）.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411" name="Picture 3" descr="E:\ppt\税务（彩）.png"/>
                    <pic:cNvPicPr>
                      <a:picLocks noChangeAspect="true"/>
                    </pic:cNvPicPr>
                  </pic:nvPicPr>
                  <pic:blipFill>
                    <a:blip r:embed="rId9"/>
                    <a:stretch>
                      <a:fillRect/>
                    </a:stretch>
                  </pic:blipFill>
                  <pic:spPr>
                    <a:xfrm>
                      <a:off x="0" y="0"/>
                      <a:ext cx="1413510" cy="1447165"/>
                    </a:xfrm>
                    <a:prstGeom prst="rect">
                      <a:avLst/>
                    </a:prstGeom>
                    <a:noFill/>
                    <a:ln w="9525">
                      <a:noFill/>
                    </a:ln>
                  </pic:spPr>
                </pic:pic>
              </a:graphicData>
            </a:graphic>
          </wp:inline>
        </w:drawing>
      </w: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napToGrid w:val="0"/>
          <w:kern w:val="0"/>
          <w:sz w:val="24"/>
          <w:szCs w:val="24"/>
          <w:lang w:val="en-US" w:eastAsia="zh-CN"/>
        </w:rPr>
      </w:pP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napToGrid w:val="0"/>
          <w:kern w:val="0"/>
          <w:sz w:val="24"/>
          <w:szCs w:val="24"/>
          <w:lang w:val="en-US" w:eastAsia="zh-CN"/>
        </w:rPr>
      </w:pPr>
    </w:p>
    <w:p>
      <w:pPr>
        <w:spacing w:before="0" w:beforeLines="0" w:after="0" w:afterLines="0" w:line="240" w:lineRule="auto"/>
        <w:ind w:left="0" w:leftChars="0" w:right="0" w:rightChars="0" w:firstLine="0" w:firstLineChars="0"/>
        <w:jc w:val="center"/>
        <w:rPr>
          <w:rFonts w:hint="default" w:ascii="方正小标宋简体" w:hAnsi="方正小标宋简体" w:eastAsia="方正小标宋简体" w:cs="方正小标宋简体"/>
          <w:snapToGrid w:val="0"/>
          <w:kern w:val="0"/>
          <w:sz w:val="52"/>
          <w:szCs w:val="52"/>
          <w:lang w:val="en-US" w:eastAsia="zh-CN"/>
        </w:rPr>
      </w:pPr>
      <w:r>
        <w:rPr>
          <w:rFonts w:hint="eastAsia" w:ascii="方正小标宋简体" w:hAnsi="方正小标宋简体" w:eastAsia="方正小标宋简体" w:cs="方正小标宋简体"/>
          <w:snapToGrid w:val="0"/>
          <w:kern w:val="0"/>
          <w:sz w:val="52"/>
          <w:szCs w:val="52"/>
          <w:lang w:val="en-US" w:eastAsia="zh-CN"/>
        </w:rPr>
        <w:t xml:space="preserve"> 最新</w:t>
      </w:r>
      <w:r>
        <w:rPr>
          <w:rFonts w:hint="eastAsia" w:ascii="方正小标宋简体" w:hAnsi="方正小标宋简体" w:eastAsia="方正小标宋简体" w:cs="方正小标宋简体"/>
          <w:snapToGrid w:val="0"/>
          <w:kern w:val="0"/>
          <w:sz w:val="52"/>
          <w:szCs w:val="52"/>
        </w:rPr>
        <w:t>税费优惠政策</w:t>
      </w:r>
      <w:r>
        <w:rPr>
          <w:rFonts w:hint="eastAsia" w:ascii="方正小标宋简体" w:hAnsi="方正小标宋简体" w:eastAsia="方正小标宋简体" w:cs="方正小标宋简体"/>
          <w:snapToGrid w:val="0"/>
          <w:kern w:val="0"/>
          <w:sz w:val="52"/>
          <w:szCs w:val="52"/>
          <w:lang w:eastAsia="zh-CN"/>
        </w:rPr>
        <w:t>文件汇编</w:t>
      </w:r>
      <w:r>
        <w:rPr>
          <w:rFonts w:hint="eastAsia" w:ascii="方正小标宋简体" w:hAnsi="方正小标宋简体" w:eastAsia="方正小标宋简体" w:cs="方正小标宋简体"/>
          <w:snapToGrid w:val="0"/>
          <w:kern w:val="0"/>
          <w:sz w:val="52"/>
          <w:szCs w:val="52"/>
          <w:lang w:val="en-US" w:eastAsia="zh-CN"/>
        </w:rPr>
        <w:t xml:space="preserve"> </w:t>
      </w:r>
    </w:p>
    <w:p>
      <w:pPr>
        <w:spacing w:before="0" w:beforeLines="0" w:after="0" w:afterLines="0" w:line="240" w:lineRule="auto"/>
        <w:ind w:left="0" w:leftChars="0" w:right="0" w:rightChars="0" w:firstLine="0" w:firstLineChars="0"/>
        <w:jc w:val="both"/>
        <w:rPr>
          <w:rFonts w:hint="eastAsia" w:ascii="方正小标宋简体" w:hAnsi="方正小标宋简体" w:eastAsia="方正小标宋简体" w:cs="方正小标宋简体"/>
          <w:snapToGrid w:val="0"/>
          <w:kern w:val="0"/>
          <w:sz w:val="52"/>
          <w:szCs w:val="52"/>
          <w:lang w:eastAsia="zh-CN"/>
        </w:rPr>
      </w:pPr>
    </w:p>
    <w:p>
      <w:pPr>
        <w:spacing w:before="0" w:beforeLines="0" w:after="0" w:afterLines="0" w:line="240" w:lineRule="auto"/>
        <w:ind w:left="0" w:leftChars="0" w:right="0" w:rightChars="0" w:firstLine="0" w:firstLineChars="0"/>
        <w:jc w:val="center"/>
      </w:pPr>
    </w:p>
    <w:p>
      <w:pPr>
        <w:spacing w:before="0" w:beforeLines="0" w:after="0" w:afterLines="0" w:line="240" w:lineRule="auto"/>
        <w:ind w:left="0" w:leftChars="0" w:right="0" w:rightChars="0" w:firstLine="0" w:firstLineChars="0"/>
        <w:jc w:val="center"/>
      </w:pP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napToGrid w:val="0"/>
          <w:kern w:val="0"/>
          <w:sz w:val="52"/>
          <w:szCs w:val="52"/>
          <w:lang w:eastAsia="zh-CN"/>
        </w:rPr>
      </w:pP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napToGrid w:val="0"/>
          <w:kern w:val="0"/>
          <w:sz w:val="52"/>
          <w:szCs w:val="52"/>
          <w:lang w:eastAsia="zh-CN"/>
        </w:rPr>
      </w:pP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napToGrid w:val="0"/>
          <w:kern w:val="0"/>
          <w:sz w:val="40"/>
          <w:szCs w:val="40"/>
          <w:lang w:eastAsia="zh-CN"/>
        </w:rPr>
      </w:pPr>
      <w:bookmarkStart w:id="17" w:name="_GoBack"/>
      <w:bookmarkEnd w:id="17"/>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napToGrid w:val="0"/>
          <w:kern w:val="0"/>
          <w:sz w:val="40"/>
          <w:szCs w:val="40"/>
          <w:lang w:eastAsia="zh-CN"/>
        </w:rPr>
      </w:pPr>
      <w:r>
        <w:rPr>
          <w:rFonts w:hint="eastAsia" w:ascii="方正小标宋简体" w:hAnsi="方正小标宋简体" w:eastAsia="方正小标宋简体" w:cs="方正小标宋简体"/>
          <w:snapToGrid w:val="0"/>
          <w:kern w:val="0"/>
          <w:sz w:val="40"/>
          <w:szCs w:val="40"/>
          <w:lang w:eastAsia="zh-CN"/>
        </w:rPr>
        <w:t>国家税务总局青岛市税务局</w:t>
      </w: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napToGrid w:val="0"/>
          <w:kern w:val="0"/>
          <w:sz w:val="40"/>
          <w:szCs w:val="40"/>
          <w:lang w:val="en-US" w:eastAsia="zh-CN"/>
        </w:rPr>
      </w:pPr>
      <w:r>
        <w:rPr>
          <w:rFonts w:hint="eastAsia" w:ascii="方正小标宋简体" w:hAnsi="方正小标宋简体" w:eastAsia="方正小标宋简体" w:cs="方正小标宋简体"/>
          <w:snapToGrid w:val="0"/>
          <w:kern w:val="0"/>
          <w:sz w:val="40"/>
          <w:szCs w:val="40"/>
          <w:lang w:val="en-US" w:eastAsia="zh-CN"/>
        </w:rPr>
        <w:t xml:space="preserve"> </w:t>
      </w: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kern w:val="2"/>
          <w:sz w:val="144"/>
          <w:szCs w:val="144"/>
          <w:lang w:val="en-US" w:eastAsia="zh-CN" w:bidi="ar-SA"/>
        </w:rPr>
      </w:pPr>
    </w:p>
    <w:sdt>
      <w:sdtPr>
        <w:rPr>
          <w:rFonts w:hint="eastAsia" w:ascii="方正小标宋简体" w:hAnsi="方正小标宋简体" w:eastAsia="方正小标宋简体" w:cs="方正小标宋简体"/>
          <w:kern w:val="2"/>
          <w:sz w:val="144"/>
          <w:szCs w:val="144"/>
          <w:lang w:val="en-US" w:eastAsia="zh-CN" w:bidi="ar-SA"/>
        </w:rPr>
        <w:id w:val="147468425"/>
        <w:docPartObj>
          <w:docPartGallery w:val="Table of Contents"/>
          <w:docPartUnique/>
        </w:docPartObj>
      </w:sdtPr>
      <w:sdtEndPr>
        <w:rPr>
          <w:rFonts w:hint="eastAsia" w:ascii="楷体" w:hAnsi="楷体" w:eastAsia="楷体" w:cs="楷体"/>
          <w:color w:val="auto"/>
          <w:kern w:val="2"/>
          <w:sz w:val="40"/>
          <w:szCs w:val="40"/>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pPr>
            <w:pStyle w:val="7"/>
            <w:tabs>
              <w:tab w:val="right" w:leader="dot" w:pos="8306"/>
            </w:tabs>
          </w:pPr>
          <w:r>
            <w:rPr>
              <w:rFonts w:hint="eastAsia" w:ascii="楷体" w:hAnsi="楷体" w:eastAsia="楷体" w:cs="楷体"/>
              <w:color w:val="auto"/>
              <w:sz w:val="28"/>
              <w:szCs w:val="28"/>
            </w:rPr>
            <w:fldChar w:fldCharType="begin"/>
          </w:r>
          <w:r>
            <w:rPr>
              <w:rFonts w:hint="eastAsia" w:ascii="楷体" w:hAnsi="楷体" w:eastAsia="楷体" w:cs="楷体"/>
              <w:color w:val="auto"/>
              <w:sz w:val="28"/>
              <w:szCs w:val="28"/>
            </w:rPr>
            <w:instrText xml:space="preserve">TOC \o "1-3" \h \u </w:instrText>
          </w:r>
          <w:r>
            <w:rPr>
              <w:rFonts w:hint="eastAsia" w:ascii="楷体" w:hAnsi="楷体" w:eastAsia="楷体" w:cs="楷体"/>
              <w:color w:val="auto"/>
              <w:sz w:val="28"/>
              <w:szCs w:val="28"/>
            </w:rPr>
            <w:fldChar w:fldCharType="separate"/>
          </w:r>
          <w:r>
            <w:rPr>
              <w:rFonts w:hint="eastAsia" w:ascii="楷体" w:hAnsi="楷体" w:eastAsia="楷体" w:cs="楷体"/>
              <w:color w:val="auto"/>
              <w:szCs w:val="28"/>
            </w:rPr>
            <w:fldChar w:fldCharType="begin"/>
          </w:r>
          <w:r>
            <w:rPr>
              <w:rFonts w:hint="eastAsia" w:ascii="楷体" w:hAnsi="楷体" w:eastAsia="楷体" w:cs="楷体"/>
              <w:szCs w:val="28"/>
            </w:rPr>
            <w:instrText xml:space="preserve"> HYPERLINK \l _Toc7236 </w:instrText>
          </w:r>
          <w:r>
            <w:rPr>
              <w:rFonts w:hint="eastAsia" w:ascii="楷体" w:hAnsi="楷体" w:eastAsia="楷体" w:cs="楷体"/>
              <w:szCs w:val="28"/>
            </w:rPr>
            <w:fldChar w:fldCharType="separate"/>
          </w:r>
          <w:r>
            <w:rPr>
              <w:rFonts w:hint="eastAsia" w:ascii="黑体" w:hAnsi="黑体" w:eastAsia="黑体" w:cs="黑体"/>
              <w:lang w:eastAsia="zh-CN"/>
            </w:rPr>
            <w:t>一、增值税</w:t>
          </w:r>
          <w:r>
            <w:tab/>
          </w:r>
          <w:r>
            <w:fldChar w:fldCharType="begin"/>
          </w:r>
          <w:r>
            <w:instrText xml:space="preserve"> PAGEREF _Toc7236 \h </w:instrText>
          </w:r>
          <w:r>
            <w:fldChar w:fldCharType="separate"/>
          </w:r>
          <w:r>
            <w:t>1</w:t>
          </w:r>
          <w:r>
            <w:fldChar w:fldCharType="end"/>
          </w:r>
          <w:r>
            <w:rPr>
              <w:rFonts w:hint="eastAsia" w:ascii="楷体" w:hAnsi="楷体" w:eastAsia="楷体" w:cs="楷体"/>
              <w:color w:val="auto"/>
              <w:szCs w:val="28"/>
            </w:rPr>
            <w:fldChar w:fldCharType="end"/>
          </w:r>
        </w:p>
        <w:p>
          <w:pPr>
            <w:pStyle w:val="8"/>
            <w:tabs>
              <w:tab w:val="right" w:leader="dot" w:pos="8306"/>
            </w:tabs>
            <w:rPr>
              <w:rFonts w:hint="eastAsia" w:ascii="楷体" w:hAnsi="楷体" w:eastAsia="楷体" w:cs="楷体"/>
              <w:color w:val="auto"/>
              <w:szCs w:val="28"/>
            </w:rPr>
          </w:pPr>
          <w:r>
            <w:rPr>
              <w:rFonts w:hint="eastAsia" w:ascii="楷体" w:hAnsi="楷体" w:eastAsia="楷体" w:cs="楷体"/>
              <w:color w:val="auto"/>
              <w:szCs w:val="28"/>
            </w:rPr>
            <w:fldChar w:fldCharType="begin"/>
          </w:r>
          <w:r>
            <w:rPr>
              <w:rFonts w:hint="eastAsia" w:ascii="楷体" w:hAnsi="楷体" w:eastAsia="楷体" w:cs="楷体"/>
              <w:color w:val="auto"/>
              <w:szCs w:val="28"/>
            </w:rPr>
            <w:instrText xml:space="preserve"> HYPERLINK \l _Toc24928 </w:instrText>
          </w:r>
          <w:r>
            <w:rPr>
              <w:rFonts w:hint="eastAsia" w:ascii="楷体" w:hAnsi="楷体" w:eastAsia="楷体" w:cs="楷体"/>
              <w:color w:val="auto"/>
              <w:szCs w:val="28"/>
            </w:rPr>
            <w:fldChar w:fldCharType="separate"/>
          </w:r>
          <w:r>
            <w:rPr>
              <w:rFonts w:hint="eastAsia" w:ascii="楷体" w:hAnsi="楷体" w:eastAsia="楷体" w:cs="楷体"/>
              <w:color w:val="auto"/>
              <w:szCs w:val="28"/>
              <w:lang w:eastAsia="zh-CN"/>
            </w:rPr>
            <w:t>（一）</w:t>
          </w:r>
          <w:r>
            <w:rPr>
              <w:rFonts w:hint="eastAsia" w:ascii="楷体" w:hAnsi="楷体" w:eastAsia="楷体" w:cs="楷体"/>
              <w:color w:val="auto"/>
              <w:szCs w:val="28"/>
            </w:rPr>
            <w:t>财政部 税务总局关于金融机构小微企业贷款利息收入免征增值税政策的公告</w:t>
          </w:r>
          <w:r>
            <w:rPr>
              <w:rFonts w:hint="eastAsia" w:ascii="楷体" w:hAnsi="楷体" w:eastAsia="楷体" w:cs="楷体"/>
              <w:color w:val="auto"/>
              <w:szCs w:val="28"/>
            </w:rPr>
            <w:tab/>
          </w:r>
          <w:r>
            <w:rPr>
              <w:rFonts w:hint="eastAsia" w:ascii="楷体" w:hAnsi="楷体" w:eastAsia="楷体" w:cs="楷体"/>
              <w:color w:val="auto"/>
              <w:szCs w:val="28"/>
            </w:rPr>
            <w:fldChar w:fldCharType="begin"/>
          </w:r>
          <w:r>
            <w:rPr>
              <w:rFonts w:hint="eastAsia" w:ascii="楷体" w:hAnsi="楷体" w:eastAsia="楷体" w:cs="楷体"/>
              <w:color w:val="auto"/>
              <w:szCs w:val="28"/>
            </w:rPr>
            <w:instrText xml:space="preserve"> PAGEREF _Toc24928 \h </w:instrText>
          </w:r>
          <w:r>
            <w:rPr>
              <w:rFonts w:hint="eastAsia" w:ascii="楷体" w:hAnsi="楷体" w:eastAsia="楷体" w:cs="楷体"/>
              <w:color w:val="auto"/>
              <w:szCs w:val="28"/>
            </w:rPr>
            <w:fldChar w:fldCharType="separate"/>
          </w:r>
          <w:r>
            <w:rPr>
              <w:rFonts w:hint="eastAsia" w:ascii="楷体" w:hAnsi="楷体" w:eastAsia="楷体" w:cs="楷体"/>
              <w:color w:val="auto"/>
              <w:szCs w:val="28"/>
            </w:rPr>
            <w:t>1</w:t>
          </w:r>
          <w:r>
            <w:rPr>
              <w:rFonts w:hint="eastAsia" w:ascii="楷体" w:hAnsi="楷体" w:eastAsia="楷体" w:cs="楷体"/>
              <w:color w:val="auto"/>
              <w:szCs w:val="28"/>
            </w:rPr>
            <w:fldChar w:fldCharType="end"/>
          </w:r>
          <w:r>
            <w:rPr>
              <w:rFonts w:hint="eastAsia" w:ascii="楷体" w:hAnsi="楷体" w:eastAsia="楷体" w:cs="楷体"/>
              <w:color w:val="auto"/>
              <w:szCs w:val="28"/>
            </w:rPr>
            <w:fldChar w:fldCharType="end"/>
          </w:r>
        </w:p>
        <w:p>
          <w:pPr>
            <w:pStyle w:val="8"/>
            <w:tabs>
              <w:tab w:val="right" w:leader="dot" w:pos="8306"/>
            </w:tabs>
            <w:rPr>
              <w:rFonts w:hint="eastAsia" w:ascii="楷体" w:hAnsi="楷体" w:eastAsia="楷体" w:cs="楷体"/>
              <w:color w:val="auto"/>
              <w:szCs w:val="28"/>
            </w:rPr>
          </w:pPr>
          <w:r>
            <w:rPr>
              <w:rFonts w:hint="eastAsia" w:ascii="楷体" w:hAnsi="楷体" w:eastAsia="楷体" w:cs="楷体"/>
              <w:color w:val="auto"/>
              <w:szCs w:val="28"/>
            </w:rPr>
            <w:fldChar w:fldCharType="begin"/>
          </w:r>
          <w:r>
            <w:rPr>
              <w:rFonts w:hint="eastAsia" w:ascii="楷体" w:hAnsi="楷体" w:eastAsia="楷体" w:cs="楷体"/>
              <w:color w:val="auto"/>
              <w:szCs w:val="28"/>
            </w:rPr>
            <w:instrText xml:space="preserve"> HYPERLINK \l _Toc25485 </w:instrText>
          </w:r>
          <w:r>
            <w:rPr>
              <w:rFonts w:hint="eastAsia" w:ascii="楷体" w:hAnsi="楷体" w:eastAsia="楷体" w:cs="楷体"/>
              <w:color w:val="auto"/>
              <w:szCs w:val="28"/>
            </w:rPr>
            <w:fldChar w:fldCharType="separate"/>
          </w:r>
          <w:r>
            <w:rPr>
              <w:rFonts w:hint="eastAsia" w:ascii="楷体" w:hAnsi="楷体" w:eastAsia="楷体" w:cs="楷体"/>
              <w:color w:val="auto"/>
              <w:szCs w:val="28"/>
              <w:lang w:val="en-US" w:eastAsia="zh-CN"/>
            </w:rPr>
            <w:t>（二）财政部 税务总局关于延续执行农户、小微企业和个体工商户融资担保增值税政策的公告</w:t>
          </w:r>
          <w:r>
            <w:rPr>
              <w:rFonts w:hint="eastAsia" w:ascii="楷体" w:hAnsi="楷体" w:eastAsia="楷体" w:cs="楷体"/>
              <w:color w:val="auto"/>
              <w:szCs w:val="28"/>
            </w:rPr>
            <w:tab/>
          </w:r>
          <w:r>
            <w:rPr>
              <w:rFonts w:hint="eastAsia" w:ascii="楷体" w:hAnsi="楷体" w:eastAsia="楷体" w:cs="楷体"/>
              <w:color w:val="auto"/>
              <w:szCs w:val="28"/>
            </w:rPr>
            <w:fldChar w:fldCharType="begin"/>
          </w:r>
          <w:r>
            <w:rPr>
              <w:rFonts w:hint="eastAsia" w:ascii="楷体" w:hAnsi="楷体" w:eastAsia="楷体" w:cs="楷体"/>
              <w:color w:val="auto"/>
              <w:szCs w:val="28"/>
            </w:rPr>
            <w:instrText xml:space="preserve"> PAGEREF _Toc25485 \h </w:instrText>
          </w:r>
          <w:r>
            <w:rPr>
              <w:rFonts w:hint="eastAsia" w:ascii="楷体" w:hAnsi="楷体" w:eastAsia="楷体" w:cs="楷体"/>
              <w:color w:val="auto"/>
              <w:szCs w:val="28"/>
            </w:rPr>
            <w:fldChar w:fldCharType="separate"/>
          </w:r>
          <w:r>
            <w:rPr>
              <w:rFonts w:hint="eastAsia" w:ascii="楷体" w:hAnsi="楷体" w:eastAsia="楷体" w:cs="楷体"/>
              <w:color w:val="auto"/>
              <w:szCs w:val="28"/>
            </w:rPr>
            <w:t>5</w:t>
          </w:r>
          <w:r>
            <w:rPr>
              <w:rFonts w:hint="eastAsia" w:ascii="楷体" w:hAnsi="楷体" w:eastAsia="楷体" w:cs="楷体"/>
              <w:color w:val="auto"/>
              <w:szCs w:val="28"/>
            </w:rPr>
            <w:fldChar w:fldCharType="end"/>
          </w:r>
          <w:r>
            <w:rPr>
              <w:rFonts w:hint="eastAsia" w:ascii="楷体" w:hAnsi="楷体" w:eastAsia="楷体" w:cs="楷体"/>
              <w:color w:val="auto"/>
              <w:szCs w:val="28"/>
            </w:rPr>
            <w:fldChar w:fldCharType="end"/>
          </w:r>
        </w:p>
        <w:p>
          <w:pPr>
            <w:pStyle w:val="8"/>
            <w:tabs>
              <w:tab w:val="right" w:leader="dot" w:pos="8306"/>
            </w:tabs>
            <w:rPr>
              <w:rFonts w:hint="eastAsia" w:ascii="楷体" w:hAnsi="楷体" w:eastAsia="楷体" w:cs="楷体"/>
              <w:color w:val="auto"/>
              <w:szCs w:val="28"/>
            </w:rPr>
          </w:pPr>
          <w:r>
            <w:rPr>
              <w:rFonts w:hint="eastAsia" w:ascii="楷体" w:hAnsi="楷体" w:eastAsia="楷体" w:cs="楷体"/>
              <w:color w:val="auto"/>
              <w:szCs w:val="28"/>
            </w:rPr>
            <w:fldChar w:fldCharType="begin"/>
          </w:r>
          <w:r>
            <w:rPr>
              <w:rFonts w:hint="eastAsia" w:ascii="楷体" w:hAnsi="楷体" w:eastAsia="楷体" w:cs="楷体"/>
              <w:color w:val="auto"/>
              <w:szCs w:val="28"/>
            </w:rPr>
            <w:instrText xml:space="preserve"> HYPERLINK \l _Toc26100 </w:instrText>
          </w:r>
          <w:r>
            <w:rPr>
              <w:rFonts w:hint="eastAsia" w:ascii="楷体" w:hAnsi="楷体" w:eastAsia="楷体" w:cs="楷体"/>
              <w:color w:val="auto"/>
              <w:szCs w:val="28"/>
            </w:rPr>
            <w:fldChar w:fldCharType="separate"/>
          </w:r>
          <w:r>
            <w:rPr>
              <w:rFonts w:hint="eastAsia" w:ascii="楷体" w:hAnsi="楷体" w:eastAsia="楷体" w:cs="楷体"/>
              <w:color w:val="auto"/>
              <w:szCs w:val="28"/>
              <w:lang w:val="en-US" w:eastAsia="zh-CN"/>
            </w:rPr>
            <w:t>（三）财政部 税务总局关于增值税小规模纳税人减免增值税政策的公告</w:t>
          </w:r>
          <w:r>
            <w:rPr>
              <w:rFonts w:hint="eastAsia" w:ascii="楷体" w:hAnsi="楷体" w:eastAsia="楷体" w:cs="楷体"/>
              <w:color w:val="auto"/>
              <w:szCs w:val="28"/>
            </w:rPr>
            <w:tab/>
          </w:r>
          <w:r>
            <w:rPr>
              <w:rFonts w:hint="eastAsia" w:ascii="楷体" w:hAnsi="楷体" w:eastAsia="楷体" w:cs="楷体"/>
              <w:color w:val="auto"/>
              <w:szCs w:val="28"/>
            </w:rPr>
            <w:fldChar w:fldCharType="begin"/>
          </w:r>
          <w:r>
            <w:rPr>
              <w:rFonts w:hint="eastAsia" w:ascii="楷体" w:hAnsi="楷体" w:eastAsia="楷体" w:cs="楷体"/>
              <w:color w:val="auto"/>
              <w:szCs w:val="28"/>
            </w:rPr>
            <w:instrText xml:space="preserve"> PAGEREF _Toc26100 \h </w:instrText>
          </w:r>
          <w:r>
            <w:rPr>
              <w:rFonts w:hint="eastAsia" w:ascii="楷体" w:hAnsi="楷体" w:eastAsia="楷体" w:cs="楷体"/>
              <w:color w:val="auto"/>
              <w:szCs w:val="28"/>
            </w:rPr>
            <w:fldChar w:fldCharType="separate"/>
          </w:r>
          <w:r>
            <w:rPr>
              <w:rFonts w:hint="eastAsia" w:ascii="楷体" w:hAnsi="楷体" w:eastAsia="楷体" w:cs="楷体"/>
              <w:color w:val="auto"/>
              <w:szCs w:val="28"/>
            </w:rPr>
            <w:t>7</w:t>
          </w:r>
          <w:r>
            <w:rPr>
              <w:rFonts w:hint="eastAsia" w:ascii="楷体" w:hAnsi="楷体" w:eastAsia="楷体" w:cs="楷体"/>
              <w:color w:val="auto"/>
              <w:szCs w:val="28"/>
            </w:rPr>
            <w:fldChar w:fldCharType="end"/>
          </w:r>
          <w:r>
            <w:rPr>
              <w:rFonts w:hint="eastAsia" w:ascii="楷体" w:hAnsi="楷体" w:eastAsia="楷体" w:cs="楷体"/>
              <w:color w:val="auto"/>
              <w:szCs w:val="28"/>
            </w:rPr>
            <w:fldChar w:fldCharType="end"/>
          </w:r>
        </w:p>
        <w:p>
          <w:pPr>
            <w:pStyle w:val="7"/>
            <w:tabs>
              <w:tab w:val="right" w:leader="dot" w:pos="8306"/>
            </w:tabs>
          </w:pPr>
          <w:r>
            <w:rPr>
              <w:rFonts w:hint="eastAsia" w:ascii="楷体" w:hAnsi="楷体" w:eastAsia="楷体" w:cs="楷体"/>
              <w:color w:val="auto"/>
              <w:szCs w:val="28"/>
            </w:rPr>
            <w:fldChar w:fldCharType="begin"/>
          </w:r>
          <w:r>
            <w:rPr>
              <w:rFonts w:hint="eastAsia" w:ascii="楷体" w:hAnsi="楷体" w:eastAsia="楷体" w:cs="楷体"/>
              <w:szCs w:val="28"/>
            </w:rPr>
            <w:instrText xml:space="preserve"> HYPERLINK \l _Toc2982 </w:instrText>
          </w:r>
          <w:r>
            <w:rPr>
              <w:rFonts w:hint="eastAsia" w:ascii="楷体" w:hAnsi="楷体" w:eastAsia="楷体" w:cs="楷体"/>
              <w:szCs w:val="28"/>
            </w:rPr>
            <w:fldChar w:fldCharType="separate"/>
          </w:r>
          <w:r>
            <w:rPr>
              <w:rFonts w:hint="eastAsia" w:ascii="黑体" w:hAnsi="黑体" w:eastAsia="黑体" w:cs="黑体"/>
              <w:lang w:eastAsia="zh-CN"/>
            </w:rPr>
            <w:t>二、个人所得税</w:t>
          </w:r>
          <w:r>
            <w:tab/>
          </w:r>
          <w:r>
            <w:fldChar w:fldCharType="begin"/>
          </w:r>
          <w:r>
            <w:instrText xml:space="preserve"> PAGEREF _Toc2982 \h </w:instrText>
          </w:r>
          <w:r>
            <w:fldChar w:fldCharType="separate"/>
          </w:r>
          <w:r>
            <w:t>8</w:t>
          </w:r>
          <w:r>
            <w:fldChar w:fldCharType="end"/>
          </w:r>
          <w:r>
            <w:rPr>
              <w:rFonts w:hint="eastAsia" w:ascii="楷体" w:hAnsi="楷体" w:eastAsia="楷体" w:cs="楷体"/>
              <w:color w:val="auto"/>
              <w:szCs w:val="28"/>
            </w:rPr>
            <w:fldChar w:fldCharType="end"/>
          </w:r>
        </w:p>
        <w:p>
          <w:pPr>
            <w:pStyle w:val="8"/>
            <w:tabs>
              <w:tab w:val="right" w:leader="dot" w:pos="8306"/>
            </w:tabs>
            <w:rPr>
              <w:rFonts w:hint="eastAsia" w:ascii="楷体" w:hAnsi="楷体" w:eastAsia="楷体" w:cs="楷体"/>
              <w:color w:val="auto"/>
              <w:szCs w:val="28"/>
            </w:rPr>
          </w:pPr>
          <w:r>
            <w:rPr>
              <w:rFonts w:hint="eastAsia" w:ascii="楷体" w:hAnsi="楷体" w:eastAsia="楷体" w:cs="楷体"/>
              <w:color w:val="auto"/>
              <w:szCs w:val="28"/>
            </w:rPr>
            <w:fldChar w:fldCharType="begin"/>
          </w:r>
          <w:r>
            <w:rPr>
              <w:rFonts w:hint="eastAsia" w:ascii="楷体" w:hAnsi="楷体" w:eastAsia="楷体" w:cs="楷体"/>
              <w:color w:val="auto"/>
              <w:szCs w:val="28"/>
            </w:rPr>
            <w:instrText xml:space="preserve"> HYPERLINK \l _Toc31952 </w:instrText>
          </w:r>
          <w:r>
            <w:rPr>
              <w:rFonts w:hint="eastAsia" w:ascii="楷体" w:hAnsi="楷体" w:eastAsia="楷体" w:cs="楷体"/>
              <w:color w:val="auto"/>
              <w:szCs w:val="28"/>
            </w:rPr>
            <w:fldChar w:fldCharType="separate"/>
          </w:r>
          <w:r>
            <w:rPr>
              <w:rFonts w:hint="eastAsia" w:ascii="楷体" w:hAnsi="楷体" w:eastAsia="楷体" w:cs="楷体"/>
              <w:color w:val="auto"/>
              <w:szCs w:val="28"/>
              <w:lang w:eastAsia="zh-CN"/>
            </w:rPr>
            <w:t>（一）</w:t>
          </w:r>
          <w:r>
            <w:rPr>
              <w:rFonts w:hint="eastAsia" w:ascii="楷体" w:hAnsi="楷体" w:eastAsia="楷体" w:cs="楷体"/>
              <w:color w:val="auto"/>
              <w:szCs w:val="28"/>
            </w:rPr>
            <w:t>国家税务总局关于进一步落实支持个体工商户发展个人所得税优惠政策有关事项的公告</w:t>
          </w:r>
          <w:r>
            <w:rPr>
              <w:rFonts w:hint="eastAsia" w:ascii="楷体" w:hAnsi="楷体" w:eastAsia="楷体" w:cs="楷体"/>
              <w:color w:val="auto"/>
              <w:szCs w:val="28"/>
            </w:rPr>
            <w:tab/>
          </w:r>
          <w:r>
            <w:rPr>
              <w:rFonts w:hint="eastAsia" w:ascii="楷体" w:hAnsi="楷体" w:eastAsia="楷体" w:cs="楷体"/>
              <w:color w:val="auto"/>
              <w:szCs w:val="28"/>
            </w:rPr>
            <w:fldChar w:fldCharType="begin"/>
          </w:r>
          <w:r>
            <w:rPr>
              <w:rFonts w:hint="eastAsia" w:ascii="楷体" w:hAnsi="楷体" w:eastAsia="楷体" w:cs="楷体"/>
              <w:color w:val="auto"/>
              <w:szCs w:val="28"/>
            </w:rPr>
            <w:instrText xml:space="preserve"> PAGEREF _Toc31952 \h </w:instrText>
          </w:r>
          <w:r>
            <w:rPr>
              <w:rFonts w:hint="eastAsia" w:ascii="楷体" w:hAnsi="楷体" w:eastAsia="楷体" w:cs="楷体"/>
              <w:color w:val="auto"/>
              <w:szCs w:val="28"/>
            </w:rPr>
            <w:fldChar w:fldCharType="separate"/>
          </w:r>
          <w:r>
            <w:rPr>
              <w:rFonts w:hint="eastAsia" w:ascii="楷体" w:hAnsi="楷体" w:eastAsia="楷体" w:cs="楷体"/>
              <w:color w:val="auto"/>
              <w:szCs w:val="28"/>
            </w:rPr>
            <w:t>8</w:t>
          </w:r>
          <w:r>
            <w:rPr>
              <w:rFonts w:hint="eastAsia" w:ascii="楷体" w:hAnsi="楷体" w:eastAsia="楷体" w:cs="楷体"/>
              <w:color w:val="auto"/>
              <w:szCs w:val="28"/>
            </w:rPr>
            <w:fldChar w:fldCharType="end"/>
          </w:r>
          <w:r>
            <w:rPr>
              <w:rFonts w:hint="eastAsia" w:ascii="楷体" w:hAnsi="楷体" w:eastAsia="楷体" w:cs="楷体"/>
              <w:color w:val="auto"/>
              <w:szCs w:val="28"/>
            </w:rPr>
            <w:fldChar w:fldCharType="end"/>
          </w:r>
        </w:p>
        <w:p>
          <w:pPr>
            <w:pStyle w:val="7"/>
            <w:tabs>
              <w:tab w:val="right" w:leader="dot" w:pos="8306"/>
            </w:tabs>
          </w:pPr>
          <w:r>
            <w:rPr>
              <w:rFonts w:hint="eastAsia" w:ascii="楷体" w:hAnsi="楷体" w:eastAsia="楷体" w:cs="楷体"/>
              <w:color w:val="auto"/>
              <w:szCs w:val="28"/>
            </w:rPr>
            <w:fldChar w:fldCharType="begin"/>
          </w:r>
          <w:r>
            <w:rPr>
              <w:rFonts w:hint="eastAsia" w:ascii="楷体" w:hAnsi="楷体" w:eastAsia="楷体" w:cs="楷体"/>
              <w:szCs w:val="28"/>
            </w:rPr>
            <w:instrText xml:space="preserve"> HYPERLINK \l _Toc1985 </w:instrText>
          </w:r>
          <w:r>
            <w:rPr>
              <w:rFonts w:hint="eastAsia" w:ascii="楷体" w:hAnsi="楷体" w:eastAsia="楷体" w:cs="楷体"/>
              <w:szCs w:val="28"/>
            </w:rPr>
            <w:fldChar w:fldCharType="separate"/>
          </w:r>
          <w:r>
            <w:rPr>
              <w:rFonts w:hint="eastAsia" w:ascii="黑体" w:hAnsi="黑体" w:eastAsia="黑体" w:cs="黑体"/>
              <w:lang w:eastAsia="zh-CN"/>
            </w:rPr>
            <w:t>三、涉及多税费种优惠政策</w:t>
          </w:r>
          <w:r>
            <w:tab/>
          </w:r>
          <w:r>
            <w:fldChar w:fldCharType="begin"/>
          </w:r>
          <w:r>
            <w:instrText xml:space="preserve"> PAGEREF _Toc1985 \h </w:instrText>
          </w:r>
          <w:r>
            <w:fldChar w:fldCharType="separate"/>
          </w:r>
          <w:r>
            <w:t>11</w:t>
          </w:r>
          <w:r>
            <w:fldChar w:fldCharType="end"/>
          </w:r>
          <w:r>
            <w:rPr>
              <w:rFonts w:hint="eastAsia" w:ascii="楷体" w:hAnsi="楷体" w:eastAsia="楷体" w:cs="楷体"/>
              <w:color w:val="auto"/>
              <w:szCs w:val="28"/>
            </w:rPr>
            <w:fldChar w:fldCharType="end"/>
          </w:r>
        </w:p>
        <w:p>
          <w:pPr>
            <w:pStyle w:val="8"/>
            <w:tabs>
              <w:tab w:val="right" w:leader="dot" w:pos="8306"/>
            </w:tabs>
            <w:rPr>
              <w:rFonts w:hint="eastAsia" w:ascii="楷体" w:hAnsi="楷体" w:eastAsia="楷体" w:cs="楷体"/>
              <w:color w:val="auto"/>
              <w:szCs w:val="28"/>
            </w:rPr>
          </w:pPr>
          <w:r>
            <w:rPr>
              <w:rFonts w:hint="eastAsia" w:ascii="楷体" w:hAnsi="楷体" w:eastAsia="楷体" w:cs="楷体"/>
              <w:color w:val="auto"/>
              <w:szCs w:val="28"/>
            </w:rPr>
            <w:fldChar w:fldCharType="begin"/>
          </w:r>
          <w:r>
            <w:rPr>
              <w:rFonts w:hint="eastAsia" w:ascii="楷体" w:hAnsi="楷体" w:eastAsia="楷体" w:cs="楷体"/>
              <w:color w:val="auto"/>
              <w:szCs w:val="28"/>
            </w:rPr>
            <w:instrText xml:space="preserve"> HYPERLINK \l _Toc31755 </w:instrText>
          </w:r>
          <w:r>
            <w:rPr>
              <w:rFonts w:hint="eastAsia" w:ascii="楷体" w:hAnsi="楷体" w:eastAsia="楷体" w:cs="楷体"/>
              <w:color w:val="auto"/>
              <w:szCs w:val="28"/>
            </w:rPr>
            <w:fldChar w:fldCharType="separate"/>
          </w:r>
          <w:r>
            <w:rPr>
              <w:rFonts w:hint="eastAsia" w:ascii="楷体" w:hAnsi="楷体" w:eastAsia="楷体" w:cs="楷体"/>
              <w:color w:val="auto"/>
              <w:szCs w:val="28"/>
              <w:lang w:eastAsia="zh-CN"/>
            </w:rPr>
            <w:t>（一）</w:t>
          </w:r>
          <w:r>
            <w:rPr>
              <w:rFonts w:hint="eastAsia" w:ascii="楷体" w:hAnsi="楷体" w:eastAsia="楷体" w:cs="楷体"/>
              <w:color w:val="auto"/>
              <w:szCs w:val="28"/>
            </w:rPr>
            <w:t>财政部 税务总局关于进一步支持小微企业和个体工商户发展有关税费政策的公告</w:t>
          </w:r>
          <w:r>
            <w:rPr>
              <w:rFonts w:hint="eastAsia" w:ascii="楷体" w:hAnsi="楷体" w:eastAsia="楷体" w:cs="楷体"/>
              <w:color w:val="auto"/>
              <w:szCs w:val="28"/>
            </w:rPr>
            <w:tab/>
          </w:r>
          <w:r>
            <w:rPr>
              <w:rFonts w:hint="eastAsia" w:ascii="楷体" w:hAnsi="楷体" w:eastAsia="楷体" w:cs="楷体"/>
              <w:color w:val="auto"/>
              <w:szCs w:val="28"/>
            </w:rPr>
            <w:fldChar w:fldCharType="begin"/>
          </w:r>
          <w:r>
            <w:rPr>
              <w:rFonts w:hint="eastAsia" w:ascii="楷体" w:hAnsi="楷体" w:eastAsia="楷体" w:cs="楷体"/>
              <w:color w:val="auto"/>
              <w:szCs w:val="28"/>
            </w:rPr>
            <w:instrText xml:space="preserve"> PAGEREF _Toc31755 \h </w:instrText>
          </w:r>
          <w:r>
            <w:rPr>
              <w:rFonts w:hint="eastAsia" w:ascii="楷体" w:hAnsi="楷体" w:eastAsia="楷体" w:cs="楷体"/>
              <w:color w:val="auto"/>
              <w:szCs w:val="28"/>
            </w:rPr>
            <w:fldChar w:fldCharType="separate"/>
          </w:r>
          <w:r>
            <w:rPr>
              <w:rFonts w:hint="eastAsia" w:ascii="楷体" w:hAnsi="楷体" w:eastAsia="楷体" w:cs="楷体"/>
              <w:color w:val="auto"/>
              <w:szCs w:val="28"/>
            </w:rPr>
            <w:t>11</w:t>
          </w:r>
          <w:r>
            <w:rPr>
              <w:rFonts w:hint="eastAsia" w:ascii="楷体" w:hAnsi="楷体" w:eastAsia="楷体" w:cs="楷体"/>
              <w:color w:val="auto"/>
              <w:szCs w:val="28"/>
            </w:rPr>
            <w:fldChar w:fldCharType="end"/>
          </w:r>
          <w:r>
            <w:rPr>
              <w:rFonts w:hint="eastAsia" w:ascii="楷体" w:hAnsi="楷体" w:eastAsia="楷体" w:cs="楷体"/>
              <w:color w:val="auto"/>
              <w:szCs w:val="28"/>
            </w:rPr>
            <w:fldChar w:fldCharType="end"/>
          </w:r>
        </w:p>
        <w:p>
          <w:pPr>
            <w:pStyle w:val="8"/>
            <w:tabs>
              <w:tab w:val="right" w:leader="dot" w:pos="8306"/>
            </w:tabs>
            <w:rPr>
              <w:rFonts w:hint="eastAsia" w:ascii="楷体" w:hAnsi="楷体" w:eastAsia="楷体" w:cs="楷体"/>
              <w:color w:val="auto"/>
              <w:szCs w:val="28"/>
            </w:rPr>
          </w:pPr>
          <w:r>
            <w:rPr>
              <w:rFonts w:hint="eastAsia" w:ascii="楷体" w:hAnsi="楷体" w:eastAsia="楷体" w:cs="楷体"/>
              <w:color w:val="auto"/>
              <w:szCs w:val="28"/>
            </w:rPr>
            <w:fldChar w:fldCharType="begin"/>
          </w:r>
          <w:r>
            <w:rPr>
              <w:rFonts w:hint="eastAsia" w:ascii="楷体" w:hAnsi="楷体" w:eastAsia="楷体" w:cs="楷体"/>
              <w:color w:val="auto"/>
              <w:szCs w:val="28"/>
            </w:rPr>
            <w:instrText xml:space="preserve"> HYPERLINK \l _Toc3723 </w:instrText>
          </w:r>
          <w:r>
            <w:rPr>
              <w:rFonts w:hint="eastAsia" w:ascii="楷体" w:hAnsi="楷体" w:eastAsia="楷体" w:cs="楷体"/>
              <w:color w:val="auto"/>
              <w:szCs w:val="28"/>
            </w:rPr>
            <w:fldChar w:fldCharType="separate"/>
          </w:r>
          <w:r>
            <w:rPr>
              <w:rFonts w:hint="eastAsia" w:ascii="楷体" w:hAnsi="楷体" w:eastAsia="楷体" w:cs="楷体"/>
              <w:color w:val="auto"/>
              <w:szCs w:val="28"/>
              <w:lang w:eastAsia="zh-CN"/>
            </w:rPr>
            <w:t>（二）</w:t>
          </w:r>
          <w:r>
            <w:rPr>
              <w:rFonts w:hint="eastAsia" w:ascii="楷体" w:hAnsi="楷体" w:eastAsia="楷体" w:cs="楷体"/>
              <w:color w:val="auto"/>
              <w:szCs w:val="28"/>
            </w:rPr>
            <w:t>财政部 税务总局关于支持小微企业融资有关税收政策的公告</w:t>
          </w:r>
          <w:r>
            <w:rPr>
              <w:rFonts w:hint="eastAsia" w:ascii="楷体" w:hAnsi="楷体" w:eastAsia="楷体" w:cs="楷体"/>
              <w:color w:val="auto"/>
              <w:szCs w:val="28"/>
            </w:rPr>
            <w:tab/>
          </w:r>
          <w:r>
            <w:rPr>
              <w:rFonts w:hint="eastAsia" w:ascii="楷体" w:hAnsi="楷体" w:eastAsia="楷体" w:cs="楷体"/>
              <w:color w:val="auto"/>
              <w:szCs w:val="28"/>
            </w:rPr>
            <w:fldChar w:fldCharType="begin"/>
          </w:r>
          <w:r>
            <w:rPr>
              <w:rFonts w:hint="eastAsia" w:ascii="楷体" w:hAnsi="楷体" w:eastAsia="楷体" w:cs="楷体"/>
              <w:color w:val="auto"/>
              <w:szCs w:val="28"/>
            </w:rPr>
            <w:instrText xml:space="preserve"> PAGEREF _Toc3723 \h </w:instrText>
          </w:r>
          <w:r>
            <w:rPr>
              <w:rFonts w:hint="eastAsia" w:ascii="楷体" w:hAnsi="楷体" w:eastAsia="楷体" w:cs="楷体"/>
              <w:color w:val="auto"/>
              <w:szCs w:val="28"/>
            </w:rPr>
            <w:fldChar w:fldCharType="separate"/>
          </w:r>
          <w:r>
            <w:rPr>
              <w:rFonts w:hint="eastAsia" w:ascii="楷体" w:hAnsi="楷体" w:eastAsia="楷体" w:cs="楷体"/>
              <w:color w:val="auto"/>
              <w:szCs w:val="28"/>
            </w:rPr>
            <w:t>14</w:t>
          </w:r>
          <w:r>
            <w:rPr>
              <w:rFonts w:hint="eastAsia" w:ascii="楷体" w:hAnsi="楷体" w:eastAsia="楷体" w:cs="楷体"/>
              <w:color w:val="auto"/>
              <w:szCs w:val="28"/>
            </w:rPr>
            <w:fldChar w:fldCharType="end"/>
          </w:r>
          <w:r>
            <w:rPr>
              <w:rFonts w:hint="eastAsia" w:ascii="楷体" w:hAnsi="楷体" w:eastAsia="楷体" w:cs="楷体"/>
              <w:color w:val="auto"/>
              <w:szCs w:val="28"/>
            </w:rPr>
            <w:fldChar w:fldCharType="end"/>
          </w:r>
        </w:p>
        <w:p>
          <w:pPr>
            <w:pStyle w:val="8"/>
            <w:tabs>
              <w:tab w:val="right" w:leader="dot" w:pos="8306"/>
            </w:tabs>
          </w:pPr>
          <w:r>
            <w:rPr>
              <w:rFonts w:hint="eastAsia" w:ascii="楷体" w:hAnsi="楷体" w:eastAsia="楷体" w:cs="楷体"/>
              <w:color w:val="auto"/>
              <w:szCs w:val="28"/>
            </w:rPr>
            <w:fldChar w:fldCharType="begin"/>
          </w:r>
          <w:r>
            <w:rPr>
              <w:rFonts w:hint="eastAsia" w:ascii="楷体" w:hAnsi="楷体" w:eastAsia="楷体" w:cs="楷体"/>
              <w:color w:val="auto"/>
              <w:szCs w:val="28"/>
            </w:rPr>
            <w:instrText xml:space="preserve"> HYPERLINK \l _Toc15589 </w:instrText>
          </w:r>
          <w:r>
            <w:rPr>
              <w:rFonts w:hint="eastAsia" w:ascii="楷体" w:hAnsi="楷体" w:eastAsia="楷体" w:cs="楷体"/>
              <w:color w:val="auto"/>
              <w:szCs w:val="28"/>
            </w:rPr>
            <w:fldChar w:fldCharType="separate"/>
          </w:r>
          <w:r>
            <w:rPr>
              <w:rFonts w:hint="eastAsia" w:ascii="楷体" w:hAnsi="楷体" w:eastAsia="楷体" w:cs="楷体"/>
              <w:color w:val="auto"/>
              <w:szCs w:val="28"/>
              <w:lang w:val="en-US" w:eastAsia="zh-CN"/>
            </w:rPr>
            <w:t>（三）财政部 税务总局关于延续执行创业投资企业和天使投资个人投资初创科技型企业有关政策条件的公告</w:t>
          </w:r>
          <w:r>
            <w:rPr>
              <w:rFonts w:hint="eastAsia" w:ascii="楷体" w:hAnsi="楷体" w:eastAsia="楷体" w:cs="楷体"/>
              <w:color w:val="auto"/>
              <w:szCs w:val="28"/>
            </w:rPr>
            <w:tab/>
          </w:r>
          <w:r>
            <w:rPr>
              <w:rFonts w:hint="eastAsia" w:ascii="楷体" w:hAnsi="楷体" w:eastAsia="楷体" w:cs="楷体"/>
              <w:color w:val="auto"/>
              <w:szCs w:val="28"/>
            </w:rPr>
            <w:fldChar w:fldCharType="begin"/>
          </w:r>
          <w:r>
            <w:rPr>
              <w:rFonts w:hint="eastAsia" w:ascii="楷体" w:hAnsi="楷体" w:eastAsia="楷体" w:cs="楷体"/>
              <w:color w:val="auto"/>
              <w:szCs w:val="28"/>
            </w:rPr>
            <w:instrText xml:space="preserve"> PAGEREF _Toc15589 \h </w:instrText>
          </w:r>
          <w:r>
            <w:rPr>
              <w:rFonts w:hint="eastAsia" w:ascii="楷体" w:hAnsi="楷体" w:eastAsia="楷体" w:cs="楷体"/>
              <w:color w:val="auto"/>
              <w:szCs w:val="28"/>
            </w:rPr>
            <w:fldChar w:fldCharType="separate"/>
          </w:r>
          <w:r>
            <w:rPr>
              <w:rFonts w:hint="eastAsia" w:ascii="楷体" w:hAnsi="楷体" w:eastAsia="楷体" w:cs="楷体"/>
              <w:color w:val="auto"/>
              <w:szCs w:val="28"/>
            </w:rPr>
            <w:t>16</w:t>
          </w:r>
          <w:r>
            <w:rPr>
              <w:rFonts w:hint="eastAsia" w:ascii="楷体" w:hAnsi="楷体" w:eastAsia="楷体" w:cs="楷体"/>
              <w:color w:val="auto"/>
              <w:szCs w:val="28"/>
            </w:rPr>
            <w:fldChar w:fldCharType="end"/>
          </w:r>
          <w:r>
            <w:rPr>
              <w:rFonts w:hint="eastAsia" w:ascii="楷体" w:hAnsi="楷体" w:eastAsia="楷体" w:cs="楷体"/>
              <w:color w:val="auto"/>
              <w:szCs w:val="28"/>
            </w:rPr>
            <w:fldChar w:fldCharType="end"/>
          </w:r>
        </w:p>
        <w:p>
          <w:pPr>
            <w:pStyle w:val="7"/>
            <w:tabs>
              <w:tab w:val="right" w:leader="dot" w:pos="8306"/>
            </w:tabs>
          </w:pPr>
          <w:r>
            <w:rPr>
              <w:rFonts w:hint="eastAsia" w:ascii="楷体" w:hAnsi="楷体" w:eastAsia="楷体" w:cs="楷体"/>
              <w:color w:val="auto"/>
              <w:szCs w:val="28"/>
            </w:rPr>
            <w:fldChar w:fldCharType="begin"/>
          </w:r>
          <w:r>
            <w:rPr>
              <w:rFonts w:hint="eastAsia" w:ascii="楷体" w:hAnsi="楷体" w:eastAsia="楷体" w:cs="楷体"/>
              <w:szCs w:val="28"/>
            </w:rPr>
            <w:instrText xml:space="preserve"> HYPERLINK \l _Toc9332 </w:instrText>
          </w:r>
          <w:r>
            <w:rPr>
              <w:rFonts w:hint="eastAsia" w:ascii="楷体" w:hAnsi="楷体" w:eastAsia="楷体" w:cs="楷体"/>
              <w:szCs w:val="28"/>
            </w:rPr>
            <w:fldChar w:fldCharType="separate"/>
          </w:r>
          <w:r>
            <w:rPr>
              <w:rFonts w:hint="eastAsia" w:ascii="黑体" w:hAnsi="黑体" w:eastAsia="黑体" w:cs="黑体"/>
              <w:lang w:eastAsia="zh-CN"/>
            </w:rPr>
            <w:t>四、重点群体和自主就业退役士兵优惠政策</w:t>
          </w:r>
          <w:r>
            <w:tab/>
          </w:r>
          <w:r>
            <w:fldChar w:fldCharType="begin"/>
          </w:r>
          <w:r>
            <w:instrText xml:space="preserve"> PAGEREF _Toc9332 \h </w:instrText>
          </w:r>
          <w:r>
            <w:fldChar w:fldCharType="separate"/>
          </w:r>
          <w:r>
            <w:t>17</w:t>
          </w:r>
          <w:r>
            <w:fldChar w:fldCharType="end"/>
          </w:r>
          <w:r>
            <w:rPr>
              <w:rFonts w:hint="eastAsia" w:ascii="楷体" w:hAnsi="楷体" w:eastAsia="楷体" w:cs="楷体"/>
              <w:color w:val="auto"/>
              <w:szCs w:val="28"/>
            </w:rPr>
            <w:fldChar w:fldCharType="end"/>
          </w:r>
        </w:p>
        <w:p>
          <w:pPr>
            <w:pStyle w:val="8"/>
            <w:tabs>
              <w:tab w:val="right" w:leader="dot" w:pos="8306"/>
            </w:tabs>
            <w:rPr>
              <w:rFonts w:hint="eastAsia" w:ascii="楷体" w:hAnsi="楷体" w:eastAsia="楷体" w:cs="楷体"/>
            </w:rPr>
          </w:pPr>
          <w:r>
            <w:rPr>
              <w:rFonts w:hint="eastAsia" w:ascii="楷体" w:hAnsi="楷体" w:eastAsia="楷体" w:cs="楷体"/>
              <w:color w:val="auto"/>
              <w:szCs w:val="28"/>
            </w:rPr>
            <w:fldChar w:fldCharType="begin"/>
          </w:r>
          <w:r>
            <w:rPr>
              <w:rFonts w:hint="eastAsia" w:ascii="楷体" w:hAnsi="楷体" w:eastAsia="楷体" w:cs="楷体"/>
              <w:szCs w:val="28"/>
            </w:rPr>
            <w:instrText xml:space="preserve"> HYPERLINK \l _Toc26974 </w:instrText>
          </w:r>
          <w:r>
            <w:rPr>
              <w:rFonts w:hint="eastAsia" w:ascii="楷体" w:hAnsi="楷体" w:eastAsia="楷体" w:cs="楷体"/>
              <w:szCs w:val="28"/>
            </w:rPr>
            <w:fldChar w:fldCharType="separate"/>
          </w:r>
          <w:r>
            <w:rPr>
              <w:rFonts w:hint="eastAsia" w:ascii="楷体" w:hAnsi="楷体" w:eastAsia="楷体" w:cs="楷体"/>
              <w:lang w:eastAsia="zh-CN"/>
            </w:rPr>
            <w:t>（一）财政部 税务总局 人力资源社会保障部 农业农村部关于进一步支持重点群体创业就业有关税收政策的公告</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_Toc26974 \h </w:instrText>
          </w:r>
          <w:r>
            <w:rPr>
              <w:rFonts w:hint="eastAsia" w:ascii="楷体" w:hAnsi="楷体" w:eastAsia="楷体" w:cs="楷体"/>
            </w:rPr>
            <w:fldChar w:fldCharType="separate"/>
          </w:r>
          <w:r>
            <w:rPr>
              <w:rFonts w:hint="eastAsia" w:ascii="楷体" w:hAnsi="楷体" w:eastAsia="楷体" w:cs="楷体"/>
            </w:rPr>
            <w:t>17</w:t>
          </w:r>
          <w:r>
            <w:rPr>
              <w:rFonts w:hint="eastAsia" w:ascii="楷体" w:hAnsi="楷体" w:eastAsia="楷体" w:cs="楷体"/>
            </w:rPr>
            <w:fldChar w:fldCharType="end"/>
          </w:r>
          <w:r>
            <w:rPr>
              <w:rFonts w:hint="eastAsia" w:ascii="楷体" w:hAnsi="楷体" w:eastAsia="楷体" w:cs="楷体"/>
              <w:color w:val="auto"/>
              <w:szCs w:val="28"/>
            </w:rPr>
            <w:fldChar w:fldCharType="end"/>
          </w:r>
        </w:p>
        <w:p>
          <w:pPr>
            <w:pStyle w:val="8"/>
            <w:tabs>
              <w:tab w:val="right" w:leader="dot" w:pos="8306"/>
            </w:tabs>
            <w:rPr>
              <w:rFonts w:hint="eastAsia" w:ascii="楷体" w:hAnsi="楷体" w:eastAsia="楷体" w:cs="楷体"/>
            </w:rPr>
          </w:pPr>
          <w:r>
            <w:rPr>
              <w:rFonts w:hint="eastAsia" w:ascii="楷体" w:hAnsi="楷体" w:eastAsia="楷体" w:cs="楷体"/>
              <w:color w:val="auto"/>
              <w:szCs w:val="28"/>
            </w:rPr>
            <w:fldChar w:fldCharType="begin"/>
          </w:r>
          <w:r>
            <w:rPr>
              <w:rFonts w:hint="eastAsia" w:ascii="楷体" w:hAnsi="楷体" w:eastAsia="楷体" w:cs="楷体"/>
              <w:szCs w:val="28"/>
            </w:rPr>
            <w:instrText xml:space="preserve"> HYPERLINK \l _Toc28048 </w:instrText>
          </w:r>
          <w:r>
            <w:rPr>
              <w:rFonts w:hint="eastAsia" w:ascii="楷体" w:hAnsi="楷体" w:eastAsia="楷体" w:cs="楷体"/>
              <w:szCs w:val="28"/>
            </w:rPr>
            <w:fldChar w:fldCharType="separate"/>
          </w:r>
          <w:r>
            <w:rPr>
              <w:rFonts w:hint="eastAsia" w:ascii="楷体" w:hAnsi="楷体" w:eastAsia="楷体" w:cs="楷体"/>
              <w:lang w:eastAsia="zh-CN"/>
            </w:rPr>
            <w:t>（二</w:t>
          </w:r>
          <w:r>
            <w:rPr>
              <w:rFonts w:hint="eastAsia" w:ascii="楷体" w:hAnsi="楷体" w:eastAsia="楷体" w:cs="楷体"/>
              <w:lang w:val="en-US" w:eastAsia="zh-CN"/>
            </w:rPr>
            <w:t>）</w:t>
          </w:r>
          <w:r>
            <w:rPr>
              <w:rFonts w:hint="eastAsia" w:ascii="楷体" w:hAnsi="楷体" w:eastAsia="楷体" w:cs="楷体"/>
              <w:lang w:eastAsia="zh-CN"/>
            </w:rPr>
            <w:t>财政部 税务总局 退役军人事务部关于进一步扶持自主就业退役士兵创业就业有关税收政策的公告</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_Toc28048 \h </w:instrText>
          </w:r>
          <w:r>
            <w:rPr>
              <w:rFonts w:hint="eastAsia" w:ascii="楷体" w:hAnsi="楷体" w:eastAsia="楷体" w:cs="楷体"/>
            </w:rPr>
            <w:fldChar w:fldCharType="separate"/>
          </w:r>
          <w:r>
            <w:rPr>
              <w:rFonts w:hint="eastAsia" w:ascii="楷体" w:hAnsi="楷体" w:eastAsia="楷体" w:cs="楷体"/>
            </w:rPr>
            <w:t>21</w:t>
          </w:r>
          <w:r>
            <w:rPr>
              <w:rFonts w:hint="eastAsia" w:ascii="楷体" w:hAnsi="楷体" w:eastAsia="楷体" w:cs="楷体"/>
            </w:rPr>
            <w:fldChar w:fldCharType="end"/>
          </w:r>
          <w:r>
            <w:rPr>
              <w:rFonts w:hint="eastAsia" w:ascii="楷体" w:hAnsi="楷体" w:eastAsia="楷体" w:cs="楷体"/>
              <w:color w:val="auto"/>
              <w:szCs w:val="28"/>
            </w:rPr>
            <w:fldChar w:fldCharType="end"/>
          </w:r>
        </w:p>
        <w:p>
          <w:pPr>
            <w:rPr>
              <w:rFonts w:hint="eastAsia" w:ascii="楷体" w:hAnsi="楷体" w:eastAsia="楷体" w:cs="楷体"/>
              <w:color w:val="auto"/>
              <w:sz w:val="28"/>
              <w:szCs w:val="28"/>
            </w:rPr>
          </w:pPr>
          <w:r>
            <w:rPr>
              <w:rFonts w:hint="eastAsia" w:ascii="楷体" w:hAnsi="楷体" w:eastAsia="楷体" w:cs="楷体"/>
              <w:color w:val="auto"/>
              <w:szCs w:val="28"/>
            </w:rPr>
            <w:fldChar w:fldCharType="end"/>
          </w:r>
        </w:p>
      </w:sdtContent>
    </w:sdt>
    <w:p>
      <w:pPr>
        <w:pStyle w:val="2"/>
        <w:bidi w:val="0"/>
        <w:outlineLvl w:val="9"/>
        <w:rPr>
          <w:rFonts w:hint="eastAsia" w:ascii="楷体" w:hAnsi="楷体" w:eastAsia="楷体" w:cs="楷体"/>
          <w:color w:val="auto"/>
          <w:sz w:val="44"/>
          <w:szCs w:val="44"/>
          <w:lang w:eastAsia="zh-CN"/>
        </w:rPr>
        <w:sectPr>
          <w:headerReference r:id="rId4" w:type="first"/>
          <w:footerReference r:id="rId6" w:type="first"/>
          <w:headerReference r:id="rId3" w:type="default"/>
          <w:footerReference r:id="rId5" w:type="default"/>
          <w:pgSz w:w="11906" w:h="16838"/>
          <w:pgMar w:top="1440" w:right="1800" w:bottom="1440" w:left="1800" w:header="567" w:footer="992" w:gutter="0"/>
          <w:pgNumType w:fmt="decimal" w:start="1"/>
          <w:cols w:space="0" w:num="1"/>
          <w:titlePg/>
          <w:rtlGutter w:val="0"/>
          <w:docGrid w:type="lines" w:linePitch="312" w:charSpace="0"/>
        </w:sectPr>
      </w:pPr>
    </w:p>
    <w:p>
      <w:pPr>
        <w:pStyle w:val="2"/>
        <w:shd w:val="clear" w:fill="1F3863" w:themeFill="accent5" w:themeFillShade="7F"/>
        <w:bidi w:val="0"/>
        <w:outlineLvl w:val="9"/>
        <w:rPr>
          <w:rFonts w:hint="eastAsia" w:ascii="黑体" w:hAnsi="黑体" w:eastAsia="黑体" w:cs="黑体"/>
          <w:lang w:eastAsia="zh-CN"/>
        </w:rPr>
      </w:pPr>
      <w:bookmarkStart w:id="0" w:name="_Toc7236"/>
      <w:r>
        <w:rPr>
          <w:rFonts w:hint="eastAsia" w:ascii="黑体" w:hAnsi="黑体" w:eastAsia="黑体" w:cs="黑体"/>
          <w:lang w:eastAsia="zh-CN"/>
        </w:rPr>
        <w:t>一、增值税</w:t>
      </w:r>
      <w:bookmarkEnd w:id="0"/>
    </w:p>
    <w:p>
      <w:pPr>
        <w:pStyle w:val="3"/>
        <w:bidi w:val="0"/>
        <w:outlineLvl w:val="1"/>
        <w:rPr>
          <w:rFonts w:hint="eastAsia"/>
          <w:lang w:eastAsia="zh-CN"/>
        </w:rPr>
      </w:pPr>
      <w:bookmarkStart w:id="1" w:name="_Toc13500_WPSOffice_Level2"/>
    </w:p>
    <w:p>
      <w:pPr>
        <w:pStyle w:val="3"/>
        <w:pBdr>
          <w:bottom w:val="single" w:color="auto" w:sz="4" w:space="0"/>
        </w:pBdr>
        <w:shd w:val="clear" w:fill="B4C6E7" w:themeFill="accent5" w:themeFillTint="66"/>
        <w:bidi w:val="0"/>
        <w:outlineLvl w:val="1"/>
        <w:rPr>
          <w:rFonts w:hint="eastAsia"/>
        </w:rPr>
      </w:pPr>
      <w:bookmarkStart w:id="2" w:name="_Toc24928"/>
      <w:r>
        <w:rPr>
          <w:rFonts w:hint="eastAsia"/>
          <w:lang w:eastAsia="zh-CN"/>
        </w:rPr>
        <w:t>（一）</w:t>
      </w:r>
      <w:r>
        <w:rPr>
          <w:rFonts w:hint="eastAsia"/>
        </w:rPr>
        <w:t>财政部 税务总局关于金融机构小微企业贷款利息收入免征增值税政策的公告</w:t>
      </w:r>
      <w:bookmarkEnd w:id="1"/>
      <w:bookmarkEnd w:id="2"/>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600" w:lineRule="exact"/>
        <w:ind w:left="0" w:right="0"/>
        <w:jc w:val="center"/>
        <w:textAlignment w:val="auto"/>
        <w:rPr>
          <w:rFonts w:hint="eastAsia" w:ascii="方正小标宋简体" w:hAnsi="方正小标宋简体" w:eastAsia="方正小标宋简体" w:cs="方正小标宋简体"/>
          <w:b w:val="0"/>
          <w:i w:val="0"/>
          <w:caps w:val="0"/>
          <w:color w:val="auto"/>
          <w:spacing w:val="0"/>
          <w:sz w:val="44"/>
          <w:szCs w:val="44"/>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600" w:lineRule="exact"/>
        <w:ind w:left="0" w:right="0"/>
        <w:jc w:val="center"/>
        <w:textAlignment w:val="auto"/>
        <w:rPr>
          <w:rFonts w:hint="eastAsia" w:ascii="方正小标宋简体" w:hAnsi="方正小标宋简体" w:eastAsia="方正小标宋简体" w:cs="方正小标宋简体"/>
          <w:b w:val="0"/>
          <w:i w:val="0"/>
          <w:caps w:val="0"/>
          <w:color w:val="auto"/>
          <w:spacing w:val="0"/>
          <w:sz w:val="44"/>
          <w:szCs w:val="44"/>
          <w:shd w:val="clear" w:fill="FFFFFF"/>
        </w:rPr>
      </w:pPr>
      <w:bookmarkStart w:id="3" w:name="_Toc17_WPSOffice_Level2"/>
      <w:r>
        <w:rPr>
          <w:rFonts w:hint="eastAsia" w:ascii="方正小标宋简体" w:hAnsi="方正小标宋简体" w:eastAsia="方正小标宋简体" w:cs="方正小标宋简体"/>
          <w:b w:val="0"/>
          <w:i w:val="0"/>
          <w:caps w:val="0"/>
          <w:color w:val="auto"/>
          <w:spacing w:val="0"/>
          <w:sz w:val="44"/>
          <w:szCs w:val="44"/>
          <w:shd w:val="clear" w:fill="FFFFFF"/>
        </w:rPr>
        <w:t>财政部 税务总局关于金融机构小微企业贷款利息收入免征增值税政策的公告</w:t>
      </w:r>
      <w:bookmarkEnd w:id="3"/>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righ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财政部 税务总局公告2023年第16号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现将支持小微企业、个体工商户融资有关税收政策公告如下：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一、对金融机构向小型企业、微型企业和个体工商户发放小额贷款取得的利息收入，免征增值税。金融机构可以选择以下两种方法之一适用免税：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对金融机构向小型企业、微型企业和个体工商户发放的，利率水平不高于全国银行间同业拆借中心公布的贷款市场报价利率（LPR）150%（含本数）的单笔小额贷款取得的利息收入，免征增值税；高于全国银行间同业拆借中心公布的贷款市场报价利率（LPR）150%的单笔小额贷款取得的利息收入，按照现行政策规定缴纳增值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对金融机构向小型企业、微型企业和个体工商户发放单笔小额贷款取得的利息收入中，不高于该笔贷款按照全国银行间同业拆借中心公布的贷款市场报价利率（LPR）150%（含本数）计算的利息收入部分，免征增值税；超过部分按照现行政策规定缴纳增值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金融机构可按会计年度在以上两种方法之间选定其一作为该年的免税适用方法，一经选定，该会计年度内不得变更。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本条公告所称金融机构，是指经中国人民银行、金融监管总局批准成立的已实现监管部门上一年度提出的小微企业贷款增长目标的机构，以及经中国人民银行、金融监管总局、中国证监会批准成立的开发银行及政策性银行、外资银行和非银行业金融机构。金融机构实现小微企业贷款增长目标情况，以金融监管总局及其派出机构考核结果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本公告所称小型企业、微型企业，是指符合《中小企业划型标准规定》（工信部联企业〔2011〕300号）的小型企业和微型企业。其中，资产总额和从业人员指标均以贷款发放时的实际状态确定；营业收入指标以贷款发放前12个自然月的累计数确定，不满12个自然月的，按照以下公式计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营业收入（年）=企业实际存续期间营业收入/企业实际存续月数×12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四、本公告所称小额贷款，是指单户授信小于1000万元（含本数）的小型企业、微型企业或个体工商户贷款；没有授信额度的，是指单户贷款合同金额且贷款余额在1000万元（含本数）以下的贷款。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五、金融机构应将相关免税证明材料留存备查，单独核算符合免税条件的小额贷款利息收入，按现行规定向主管税务机构办理纳税申报；未单独核算的，不得免征增值税。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金融机构应依法依规享受增值税优惠政策，一经发现存在虚报或造假骗取本项税收优惠情形的，停止享受本公告有关增值税优惠政策。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金融机构应持续跟踪贷款投向，确保贷款资金真正流向小型企业、微型企业和个体工商户，贷款的实际使用主体与申请主体一致。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六、金融机构向小型企业、微型企业及个体工商户发放单户授信小于100万元（含本数），或者没有授信额度，单户贷款合同金额且贷款余额在100万元（含本数）以下的贷款取得的利息收入，可按照《财政部 税务总局关于支持小微企业融资有关税收政策的公告》（财政部 税务总局公告2023年第13号）的规定免征增值税。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七、本公告执行至2027年12月31日。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3936" w:firstLineChars="1230"/>
        <w:jc w:val="center"/>
        <w:textAlignment w:val="auto"/>
        <w:rPr>
          <w:rFonts w:hint="eastAsia" w:ascii="仿宋" w:hAnsi="仿宋" w:eastAsia="仿宋" w:cs="仿宋"/>
          <w:color w:val="auto"/>
          <w:sz w:val="32"/>
          <w:szCs w:val="32"/>
        </w:rPr>
      </w:pPr>
      <w:r>
        <w:rPr>
          <w:rFonts w:hint="eastAsia" w:ascii="仿宋" w:hAnsi="仿宋" w:cs="仿宋"/>
          <w:color w:val="auto"/>
          <w:sz w:val="32"/>
          <w:szCs w:val="32"/>
          <w:lang w:val="en-US" w:eastAsia="zh-CN"/>
        </w:rPr>
        <w:t xml:space="preserve"> </w:t>
      </w:r>
      <w:r>
        <w:rPr>
          <w:rFonts w:hint="eastAsia" w:ascii="仿宋" w:hAnsi="仿宋" w:eastAsia="仿宋" w:cs="仿宋"/>
          <w:color w:val="auto"/>
          <w:sz w:val="32"/>
          <w:szCs w:val="32"/>
        </w:rPr>
        <w:t>财政部 税务总局</w:t>
      </w:r>
    </w:p>
    <w:p>
      <w:pPr>
        <w:keepNext w:val="0"/>
        <w:keepLines w:val="0"/>
        <w:pageBreakBefore w:val="0"/>
        <w:kinsoku/>
        <w:wordWrap/>
        <w:overflowPunct/>
        <w:topLinePunct w:val="0"/>
        <w:autoSpaceDE/>
        <w:autoSpaceDN/>
        <w:bidi w:val="0"/>
        <w:adjustRightInd/>
        <w:snapToGrid/>
        <w:spacing w:line="336" w:lineRule="auto"/>
        <w:ind w:firstLine="5120" w:firstLineChars="16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2023年8月</w:t>
      </w:r>
      <w:r>
        <w:rPr>
          <w:rFonts w:hint="eastAsia" w:ascii="仿宋" w:hAnsi="仿宋" w:cs="仿宋"/>
          <w:color w:val="auto"/>
          <w:sz w:val="32"/>
          <w:szCs w:val="32"/>
          <w:lang w:val="en-US" w:eastAsia="zh-CN"/>
        </w:rPr>
        <w:t>1</w:t>
      </w:r>
      <w:r>
        <w:rPr>
          <w:rFonts w:hint="eastAsia" w:ascii="仿宋" w:hAnsi="仿宋" w:eastAsia="仿宋" w:cs="仿宋"/>
          <w:color w:val="auto"/>
          <w:sz w:val="32"/>
          <w:szCs w:val="32"/>
          <w:lang w:eastAsia="zh-CN"/>
        </w:rPr>
        <w:t>日</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br w:type="page"/>
      </w:r>
    </w:p>
    <w:p>
      <w:pPr>
        <w:pStyle w:val="3"/>
        <w:pBdr>
          <w:bottom w:val="single" w:color="auto" w:sz="4" w:space="0"/>
        </w:pBdr>
        <w:shd w:val="clear" w:fill="B4C6E7" w:themeFill="accent5" w:themeFillTint="66"/>
        <w:bidi w:val="0"/>
        <w:outlineLvl w:val="1"/>
        <w:rPr>
          <w:rFonts w:hint="eastAsia"/>
          <w:lang w:val="en-US" w:eastAsia="zh-CN"/>
        </w:rPr>
      </w:pPr>
      <w:bookmarkStart w:id="4" w:name="_Toc25485"/>
      <w:r>
        <w:rPr>
          <w:rFonts w:hint="eastAsia"/>
          <w:lang w:val="en-US" w:eastAsia="zh-CN"/>
        </w:rPr>
        <w:t>（二）财政部 税务总局关于延续执行农户、小微企业和个体工商户融资担保增值税政策的公告</w:t>
      </w:r>
      <w:bookmarkEnd w:id="4"/>
    </w:p>
    <w:p>
      <w:pPr>
        <w:keepNext w:val="0"/>
        <w:keepLines w:val="0"/>
        <w:pageBreakBefore w:val="0"/>
        <w:kinsoku/>
        <w:wordWrap/>
        <w:overflowPunct/>
        <w:topLinePunct w:val="0"/>
        <w:autoSpaceDE/>
        <w:autoSpaceDN/>
        <w:bidi w:val="0"/>
        <w:adjustRightInd/>
        <w:snapToGrid/>
        <w:spacing w:line="336" w:lineRule="auto"/>
        <w:textAlignment w:val="auto"/>
        <w:rPr>
          <w:rFonts w:hint="eastAsia" w:ascii="Arial" w:hAnsi="Arial" w:eastAsia="黑体" w:cs="仿宋"/>
          <w:b/>
          <w:kern w:val="2"/>
          <w:sz w:val="32"/>
          <w:szCs w:val="32"/>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600" w:lineRule="exact"/>
        <w:ind w:left="0" w:right="0"/>
        <w:jc w:val="center"/>
        <w:textAlignment w:val="auto"/>
        <w:rPr>
          <w:rFonts w:hint="eastAsia" w:ascii="方正小标宋简体" w:hAnsi="方正小标宋简体" w:eastAsia="方正小标宋简体" w:cs="方正小标宋简体"/>
          <w:b w:val="0"/>
          <w:i w:val="0"/>
          <w:caps w:val="0"/>
          <w:color w:val="auto"/>
          <w:spacing w:val="0"/>
          <w:sz w:val="44"/>
          <w:szCs w:val="44"/>
          <w:shd w:val="clear" w:fill="FFFFFF"/>
        </w:rPr>
      </w:pPr>
      <w:r>
        <w:rPr>
          <w:rFonts w:hint="eastAsia" w:ascii="方正小标宋简体" w:hAnsi="方正小标宋简体" w:eastAsia="方正小标宋简体" w:cs="方正小标宋简体"/>
          <w:b w:val="0"/>
          <w:i w:val="0"/>
          <w:caps w:val="0"/>
          <w:color w:val="auto"/>
          <w:spacing w:val="0"/>
          <w:sz w:val="44"/>
          <w:szCs w:val="44"/>
          <w:shd w:val="clear" w:fill="FFFFFF"/>
        </w:rPr>
        <w:t>财政部 税务总局关于延续执行农户、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600" w:lineRule="exact"/>
        <w:ind w:left="0" w:right="0"/>
        <w:jc w:val="center"/>
        <w:textAlignment w:val="auto"/>
        <w:rPr>
          <w:rFonts w:hint="eastAsia" w:ascii="方正小标宋简体" w:hAnsi="方正小标宋简体" w:eastAsia="方正小标宋简体" w:cs="方正小标宋简体"/>
          <w:b w:val="0"/>
          <w:i w:val="0"/>
          <w:caps w:val="0"/>
          <w:color w:val="auto"/>
          <w:spacing w:val="0"/>
          <w:sz w:val="44"/>
          <w:szCs w:val="44"/>
          <w:shd w:val="clear" w:fill="FFFFFF"/>
        </w:rPr>
      </w:pPr>
      <w:r>
        <w:rPr>
          <w:rFonts w:hint="eastAsia" w:ascii="方正小标宋简体" w:hAnsi="方正小标宋简体" w:eastAsia="方正小标宋简体" w:cs="方正小标宋简体"/>
          <w:b w:val="0"/>
          <w:i w:val="0"/>
          <w:caps w:val="0"/>
          <w:color w:val="auto"/>
          <w:spacing w:val="0"/>
          <w:sz w:val="44"/>
          <w:szCs w:val="44"/>
          <w:shd w:val="clear" w:fill="FFFFFF"/>
        </w:rPr>
        <w:t>小微企业和个体工商户融资担保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600" w:lineRule="exact"/>
        <w:ind w:left="0" w:right="0"/>
        <w:jc w:val="center"/>
        <w:textAlignment w:val="auto"/>
        <w:rPr>
          <w:rFonts w:hint="eastAsia" w:ascii="方正小标宋简体" w:hAnsi="方正小标宋简体" w:eastAsia="方正小标宋简体" w:cs="方正小标宋简体"/>
          <w:b w:val="0"/>
          <w:i w:val="0"/>
          <w:caps w:val="0"/>
          <w:color w:val="auto"/>
          <w:spacing w:val="0"/>
          <w:sz w:val="44"/>
          <w:szCs w:val="44"/>
          <w:shd w:val="clear" w:fill="FFFFFF"/>
        </w:rPr>
      </w:pPr>
      <w:r>
        <w:rPr>
          <w:rFonts w:hint="eastAsia" w:ascii="方正小标宋简体" w:hAnsi="方正小标宋简体" w:eastAsia="方正小标宋简体" w:cs="方正小标宋简体"/>
          <w:b w:val="0"/>
          <w:i w:val="0"/>
          <w:caps w:val="0"/>
          <w:color w:val="auto"/>
          <w:spacing w:val="0"/>
          <w:sz w:val="44"/>
          <w:szCs w:val="44"/>
          <w:shd w:val="clear" w:fill="FFFFFF"/>
        </w:rPr>
        <w:t>增值税政策的公告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80" w:lineRule="exact"/>
        <w:ind w:righ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财政部 税务总局公告2023年第18号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80" w:lineRule="exact"/>
        <w:ind w:left="0" w:right="0" w:firstLine="739" w:firstLineChars="231"/>
        <w:jc w:val="both"/>
        <w:textAlignment w:val="auto"/>
        <w:rPr>
          <w:rFonts w:hint="eastAsia" w:ascii="仿宋" w:hAnsi="仿宋" w:eastAsia="仿宋" w:cs="仿宋"/>
          <w:color w:val="auto"/>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80" w:lineRule="exact"/>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为进一步支持农户、小微企业和个体工商户融资，现将有关税收政策公告如下：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80" w:lineRule="exact"/>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纳税人为农户、小型企业、微型企业及个体工商户借款、发行债券提供融资担保取得的担保费收入，以及为上述融资担保（以下称原担保）提供再担保取得的再担保费收入，免征增值税。再担保合同对应多个原担保合同的，原担保合同应全部适用免征增值税政策。否则，再担保合同应按规定缴纳增值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80" w:lineRule="exact"/>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本公告所称农户，是指长期（一年以上）居住在乡镇（不包括城关镇）行政管理区域内的住户，还包括长期居住在城关镇所辖行政村范围内的住户和户口不在本地而在本地居住一年以上的住户，国有农场的职工。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担保、再担保的判定应以原担保生效时的被担保人是否属于农户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80" w:lineRule="exact"/>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公告所称小型企业、微型企业，是指符合《中小企业划型标准规定》（工信部联企业〔2011〕300号）的小型企业和微型企业。其中，资产总额和从业人员指标均以原担保生效时的实际状态确定；营业收入指标以原担保生效前12个自然月的累计数确定，不满12个自然月的，按照以下公式计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80" w:lineRule="exact"/>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营业收入（年）=企业实际存续期间营业收入/企业实际存续月数×12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80" w:lineRule="exact"/>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纳税人应将相关免税证明材料留存备查，单独核算符合免税条件的融资担保费和再担保费收入，按现行规定向主管税务机关办理纳税申报；未单独核算的，不得免征增值税。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80" w:lineRule="exact"/>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三、本公告执行至2027年12月31日。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80" w:lineRule="exact"/>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80" w:lineRule="exact"/>
        <w:ind w:left="0" w:right="0"/>
        <w:jc w:val="center"/>
        <w:textAlignment w:val="auto"/>
        <w:rPr>
          <w:rFonts w:hint="eastAsia" w:ascii="仿宋" w:hAnsi="仿宋" w:eastAsia="仿宋" w:cs="仿宋"/>
          <w:color w:val="auto"/>
          <w:sz w:val="32"/>
          <w:szCs w:val="32"/>
        </w:rPr>
      </w:pPr>
      <w:r>
        <w:rPr>
          <w:rFonts w:hint="eastAsia" w:ascii="仿宋" w:hAnsi="仿宋" w:cs="仿宋"/>
          <w:color w:val="auto"/>
          <w:sz w:val="32"/>
          <w:szCs w:val="32"/>
          <w:lang w:val="en-US" w:eastAsia="zh-CN"/>
        </w:rPr>
        <w:t xml:space="preserve">                       </w:t>
      </w:r>
      <w:r>
        <w:rPr>
          <w:rFonts w:hint="eastAsia" w:ascii="仿宋" w:hAnsi="仿宋" w:eastAsia="仿宋" w:cs="仿宋"/>
          <w:color w:val="auto"/>
          <w:sz w:val="32"/>
          <w:szCs w:val="32"/>
        </w:rPr>
        <w:t>财政部 税务总局</w:t>
      </w:r>
    </w:p>
    <w:p>
      <w:pPr>
        <w:keepNext w:val="0"/>
        <w:keepLines w:val="0"/>
        <w:pageBreakBefore w:val="0"/>
        <w:tabs>
          <w:tab w:val="left" w:pos="1123"/>
        </w:tabs>
        <w:kinsoku/>
        <w:wordWrap/>
        <w:overflowPunct/>
        <w:topLinePunct w:val="0"/>
        <w:autoSpaceDE/>
        <w:autoSpaceDN/>
        <w:bidi w:val="0"/>
        <w:adjustRightInd/>
        <w:snapToGrid/>
        <w:spacing w:line="580" w:lineRule="exact"/>
        <w:ind w:firstLine="4800" w:firstLineChars="15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2023年8月1</w:t>
      </w:r>
      <w:r>
        <w:rPr>
          <w:rFonts w:hint="eastAsia" w:ascii="仿宋" w:hAnsi="仿宋" w:eastAsia="仿宋" w:cs="仿宋"/>
          <w:color w:val="auto"/>
          <w:sz w:val="32"/>
          <w:szCs w:val="32"/>
          <w:lang w:eastAsia="zh-CN"/>
        </w:rPr>
        <w:t>日</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br w:type="page"/>
      </w:r>
    </w:p>
    <w:p>
      <w:pPr>
        <w:pStyle w:val="3"/>
        <w:pBdr>
          <w:bottom w:val="single" w:color="auto" w:sz="4" w:space="0"/>
        </w:pBdr>
        <w:shd w:val="clear" w:fill="B4C6E7" w:themeFill="accent5" w:themeFillTint="66"/>
        <w:bidi w:val="0"/>
        <w:outlineLvl w:val="1"/>
        <w:rPr>
          <w:rFonts w:hint="eastAsia"/>
          <w:lang w:val="en-US" w:eastAsia="zh-CN"/>
        </w:rPr>
      </w:pPr>
      <w:bookmarkStart w:id="5" w:name="_Toc26100"/>
      <w:r>
        <w:rPr>
          <w:rFonts w:hint="eastAsia"/>
          <w:lang w:val="en-US" w:eastAsia="zh-CN"/>
        </w:rPr>
        <w:t>（三）财政部 税务总局关于增值税小规模纳税人减免增值税政策的公告</w:t>
      </w:r>
      <w:bookmarkEnd w:id="5"/>
    </w:p>
    <w:p>
      <w:pPr>
        <w:rPr>
          <w:rFonts w:hint="eastAsi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val="0"/>
          <w:i w:val="0"/>
          <w:caps w:val="0"/>
          <w:color w:val="auto"/>
          <w:spacing w:val="0"/>
          <w:sz w:val="44"/>
          <w:szCs w:val="44"/>
          <w:shd w:val="clear" w:fill="FFFFFF"/>
        </w:rPr>
        <w:t>财政部 税务总局关于增值税小规模纳税人减免增值税政策的公告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jc w:val="center"/>
        <w:textAlignment w:val="auto"/>
        <w:rPr>
          <w:rFonts w:hint="eastAsia" w:ascii="仿宋" w:hAnsi="仿宋" w:eastAsia="仿宋" w:cs="仿宋"/>
          <w:color w:val="auto"/>
          <w:sz w:val="32"/>
          <w:szCs w:val="32"/>
        </w:rPr>
      </w:pPr>
      <w:r>
        <w:rPr>
          <w:rFonts w:hint="eastAsia" w:ascii="仿宋" w:hAnsi="仿宋" w:eastAsia="仿宋" w:cs="仿宋"/>
          <w:b w:val="0"/>
          <w:i w:val="0"/>
          <w:caps w:val="0"/>
          <w:color w:val="auto"/>
          <w:spacing w:val="0"/>
          <w:sz w:val="32"/>
          <w:szCs w:val="32"/>
          <w:shd w:val="clear" w:fill="FFFFFF"/>
        </w:rPr>
        <w:t>财政部 税务总局公告2023年第19号</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仿宋" w:hAnsi="仿宋" w:eastAsia="仿宋" w:cs="仿宋"/>
          <w:color w:val="auto"/>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为进一步支持小微企业和个体工商户发展，现将延续小规模纳税人增值税减免政策公告如下：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一、对月销售额10万元以下（含本数）的增值税小规模纳税人，免征增值税。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二、增值税小规模纳税人适用3%征收率的应税销售收入，减按1%征收率征收增值税；适用3%预征率的预缴增值税项目，减按1%预征率预缴增值税。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三、本公告执行至2027年12月31日。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2880" w:firstLineChars="90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财政部 税务总局</w:t>
      </w:r>
    </w:p>
    <w:p>
      <w:pPr>
        <w:keepNext w:val="0"/>
        <w:keepLines w:val="0"/>
        <w:pageBreakBefore w:val="0"/>
        <w:kinsoku/>
        <w:wordWrap/>
        <w:overflowPunct/>
        <w:topLinePunct w:val="0"/>
        <w:autoSpaceDE/>
        <w:autoSpaceDN/>
        <w:bidi w:val="0"/>
        <w:adjustRightInd/>
        <w:snapToGrid/>
        <w:spacing w:line="336" w:lineRule="auto"/>
        <w:ind w:firstLine="2880" w:firstLineChars="900"/>
        <w:jc w:val="center"/>
        <w:textAlignment w:val="auto"/>
        <w:rPr>
          <w:rFonts w:hint="eastAsia" w:ascii="仿宋" w:hAnsi="仿宋" w:eastAsia="仿宋" w:cs="仿宋"/>
          <w:color w:val="auto"/>
          <w:sz w:val="32"/>
          <w:szCs w:val="32"/>
          <w:lang w:eastAsia="zh-CN"/>
        </w:rPr>
      </w:pPr>
      <w:r>
        <w:rPr>
          <w:rFonts w:hint="eastAsia" w:ascii="仿宋" w:hAnsi="仿宋" w:cs="仿宋"/>
          <w:color w:val="auto"/>
          <w:sz w:val="32"/>
          <w:szCs w:val="32"/>
          <w:lang w:val="en-US" w:eastAsia="zh-CN"/>
        </w:rPr>
        <w:t>2</w:t>
      </w:r>
      <w:r>
        <w:rPr>
          <w:rFonts w:hint="eastAsia" w:ascii="仿宋" w:hAnsi="仿宋" w:eastAsia="仿宋" w:cs="仿宋"/>
          <w:color w:val="auto"/>
          <w:sz w:val="32"/>
          <w:szCs w:val="32"/>
        </w:rPr>
        <w:t>023年8月1</w:t>
      </w:r>
      <w:r>
        <w:rPr>
          <w:rFonts w:hint="eastAsia" w:ascii="仿宋" w:hAnsi="仿宋" w:eastAsia="仿宋" w:cs="仿宋"/>
          <w:color w:val="auto"/>
          <w:sz w:val="32"/>
          <w:szCs w:val="32"/>
          <w:lang w:eastAsia="zh-CN"/>
        </w:rPr>
        <w:t>日</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br w:type="page"/>
      </w:r>
    </w:p>
    <w:p>
      <w:pPr>
        <w:pStyle w:val="2"/>
        <w:shd w:val="clear" w:fill="1F3863" w:themeFill="accent5" w:themeFillShade="7F"/>
        <w:bidi w:val="0"/>
        <w:outlineLvl w:val="9"/>
        <w:rPr>
          <w:rFonts w:hint="eastAsia" w:ascii="黑体" w:hAnsi="黑体" w:eastAsia="黑体" w:cs="黑体"/>
          <w:lang w:eastAsia="zh-CN"/>
        </w:rPr>
      </w:pPr>
      <w:bookmarkStart w:id="6" w:name="_Toc17_WPSOffice_Level1"/>
      <w:bookmarkStart w:id="7" w:name="_Toc2982"/>
      <w:r>
        <w:rPr>
          <w:rFonts w:hint="eastAsia" w:ascii="黑体" w:hAnsi="黑体" w:eastAsia="黑体" w:cs="黑体"/>
          <w:lang w:eastAsia="zh-CN"/>
        </w:rPr>
        <w:t>二、个人所得税</w:t>
      </w:r>
      <w:bookmarkEnd w:id="6"/>
      <w:bookmarkEnd w:id="7"/>
    </w:p>
    <w:p>
      <w:pPr>
        <w:pStyle w:val="3"/>
        <w:bidi w:val="0"/>
        <w:outlineLvl w:val="1"/>
        <w:rPr>
          <w:rFonts w:hint="eastAsia"/>
          <w:lang w:eastAsia="zh-CN"/>
        </w:rPr>
      </w:pPr>
    </w:p>
    <w:p>
      <w:pPr>
        <w:pStyle w:val="3"/>
        <w:pBdr>
          <w:bottom w:val="single" w:color="auto" w:sz="4" w:space="0"/>
        </w:pBdr>
        <w:shd w:val="clear" w:fill="B4C6E7" w:themeFill="accent5" w:themeFillTint="66"/>
        <w:bidi w:val="0"/>
        <w:outlineLvl w:val="1"/>
        <w:rPr>
          <w:rFonts w:hint="eastAsia"/>
        </w:rPr>
      </w:pPr>
      <w:bookmarkStart w:id="8" w:name="_Toc31952"/>
      <w:r>
        <w:rPr>
          <w:rFonts w:hint="eastAsia"/>
          <w:lang w:eastAsia="zh-CN"/>
        </w:rPr>
        <w:t>（一）</w:t>
      </w:r>
      <w:r>
        <w:rPr>
          <w:rFonts w:hint="eastAsia"/>
        </w:rPr>
        <w:t>国家税务总局关于进一步落实支持个体工商户发展个人所得税优惠政策有关事项的公告</w:t>
      </w:r>
      <w:bookmarkEnd w:id="8"/>
    </w:p>
    <w:p>
      <w:pPr>
        <w:ind w:firstLine="640" w:firstLineChars="200"/>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国家税务总局关于进一步落实支持个体工商户发展个人所得税优惠政策有关事项的公告</w:t>
      </w:r>
    </w:p>
    <w:p>
      <w:pPr>
        <w:jc w:val="center"/>
        <w:rPr>
          <w:rFonts w:hint="default" w:eastAsia="仿宋"/>
          <w:lang w:val="en-US" w:eastAsia="zh-CN"/>
        </w:rPr>
      </w:pPr>
      <w:r>
        <w:rPr>
          <w:rFonts w:hint="eastAsia"/>
          <w:lang w:val="en-US" w:eastAsia="zh-CN"/>
        </w:rPr>
        <w:t>2023年第12号</w:t>
      </w:r>
    </w:p>
    <w:p>
      <w:pPr>
        <w:rPr>
          <w:rFonts w:hint="eastAsia"/>
        </w:rPr>
      </w:pP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为贯彻落实《财政部 税务总局关于进一步支持小微企业和个体工商户发展有关税费政策的公告》(2023年第12号，以下简称12号公告)，进一步支持个体工商户发展，现就有关事项公告如下：</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一、对个体工商户年应纳税所得额不超过200万元的部分，减半征收个人所得税。个体工商户在享受现行其他个人所得税优惠政策的基础上，可叠加享受本条优惠政策。个体工商户不区分征收方式，均可享受。</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二、个体工商户在预缴税款时即可享受，其年应纳税所得额暂按截至本期申报所属期末的情况进行判断，并在年度汇算清缴时按年计算、多退少补。若个体工商户从两处以上取得经营所得，需在办理年度汇总纳税申报时，合并个体工商户经营所得年应纳税所得额，重新计算减免税额，多退少补。</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三、个体工商户按照以下方法计算减免税额：</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减免税额=(经营所得应纳税所得额不超过200万元部分的应纳税额-其他政策减免税额×经营所得应纳税所得额不超过200万元部分÷经营所得应纳税所得额)×50%。</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四、个体工商户需将按上述方法计算得出的减免税额填入对应经营所得纳税申报表“减免税额”栏次，并附报《个人所得税减免税事项报告表》。对于通过电子税务局申报的个体工商户，税务机关将提供该优惠政策减免税额和报告表的预填服务。实行简易申报的定期定额个体工商户，税务机关按照减免后的税额进行税款划缴。</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五、按12号公告应减征的税款，在本公告发布前已缴纳的，可申请退税;也可自动抵减以后月份的税款，当年抵减不完的在汇算清缴时办理退税;12号公告发布之日前已办理注销的，不再追溯享受。</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六、各级税务机关要切实提高政治站位，充分认识税收政策对于市场主体稳定预期、提振信心、安排好投资经营的重要意义，认真做好宣传解读、做优精准辅导，为纳税人提供便捷、高效的政策享受通道，积极回应纳税人诉求，全面抓好推进落实。</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七、本公告自2023年1月1日起施行，2027年12月31日终止执行。《国家税务总局关于落实支持个体工商户发展个人所得税优惠政策有关事项的公告》(2023年第5号)同时废止。</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特此公告。</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仿宋" w:hAnsi="仿宋" w:eastAsia="仿宋" w:cs="仿宋"/>
          <w:i w:val="0"/>
          <w:caps w:val="0"/>
          <w:color w:val="auto"/>
          <w:spacing w:val="0"/>
          <w:sz w:val="32"/>
          <w:szCs w:val="32"/>
          <w:shd w:val="clear" w:fill="FFFFFF"/>
        </w:rPr>
      </w:pPr>
    </w:p>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lang w:eastAsia="zh-CN"/>
        </w:rPr>
        <w:t>国家税务总局</w:t>
      </w:r>
    </w:p>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lang w:val="en-US" w:eastAsia="zh-CN"/>
        </w:rPr>
        <w:t>2023年8月2日</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仿宋" w:hAnsi="仿宋" w:eastAsia="仿宋" w:cs="仿宋"/>
          <w:b w:val="0"/>
          <w:i w:val="0"/>
          <w:caps w:val="0"/>
          <w:color w:val="auto"/>
          <w:spacing w:val="0"/>
          <w:sz w:val="32"/>
          <w:szCs w:val="32"/>
          <w:shd w:val="clear" w:fill="FFFFFF"/>
        </w:rPr>
      </w:pPr>
    </w:p>
    <w:p>
      <w:pPr>
        <w:keepNext w:val="0"/>
        <w:keepLines w:val="0"/>
        <w:pageBreakBefore w:val="0"/>
        <w:kinsoku/>
        <w:wordWrap/>
        <w:overflowPunct/>
        <w:topLinePunct w:val="0"/>
        <w:autoSpaceDE/>
        <w:autoSpaceDN/>
        <w:bidi w:val="0"/>
        <w:adjustRightInd/>
        <w:snapToGrid/>
        <w:spacing w:line="336" w:lineRule="auto"/>
        <w:textAlignment w:val="auto"/>
        <w:rPr>
          <w:rFonts w:hint="eastAsia" w:ascii="仿宋" w:hAnsi="仿宋" w:eastAsia="仿宋" w:cs="仿宋"/>
          <w:b w:val="0"/>
          <w:i w:val="0"/>
          <w:caps w:val="0"/>
          <w:color w:val="auto"/>
          <w:spacing w:val="0"/>
          <w:sz w:val="32"/>
          <w:szCs w:val="32"/>
          <w:shd w:val="clear" w:fill="FFFFFF"/>
        </w:rPr>
      </w:pPr>
    </w:p>
    <w:p>
      <w:pPr>
        <w:keepNext w:val="0"/>
        <w:keepLines w:val="0"/>
        <w:pageBreakBefore w:val="0"/>
        <w:kinsoku/>
        <w:wordWrap/>
        <w:overflowPunct/>
        <w:topLinePunct w:val="0"/>
        <w:autoSpaceDE/>
        <w:autoSpaceDN/>
        <w:bidi w:val="0"/>
        <w:adjustRightInd/>
        <w:snapToGrid/>
        <w:spacing w:line="336" w:lineRule="auto"/>
        <w:textAlignment w:val="auto"/>
        <w:rPr>
          <w:rFonts w:hint="eastAsia" w:ascii="仿宋" w:hAnsi="仿宋" w:eastAsia="仿宋" w:cs="仿宋"/>
          <w:b w:val="0"/>
          <w:i w:val="0"/>
          <w:caps w:val="0"/>
          <w:color w:val="auto"/>
          <w:spacing w:val="0"/>
          <w:sz w:val="32"/>
          <w:szCs w:val="32"/>
          <w:shd w:val="clear" w:fill="FFFFFF"/>
        </w:rPr>
      </w:pPr>
      <w:r>
        <w:rPr>
          <w:rFonts w:hint="eastAsia" w:ascii="仿宋" w:hAnsi="仿宋" w:eastAsia="仿宋" w:cs="仿宋"/>
          <w:b w:val="0"/>
          <w:i w:val="0"/>
          <w:caps w:val="0"/>
          <w:color w:val="auto"/>
          <w:spacing w:val="0"/>
          <w:sz w:val="32"/>
          <w:szCs w:val="32"/>
          <w:shd w:val="clear" w:fill="FFFFFF"/>
        </w:rPr>
        <w:br w:type="page"/>
      </w:r>
    </w:p>
    <w:p>
      <w:pPr>
        <w:pStyle w:val="2"/>
        <w:shd w:val="clear" w:fill="1F3863" w:themeFill="accent5" w:themeFillShade="7F"/>
        <w:bidi w:val="0"/>
        <w:outlineLvl w:val="9"/>
        <w:rPr>
          <w:rFonts w:hint="eastAsia" w:ascii="黑体" w:hAnsi="黑体" w:eastAsia="黑体" w:cs="黑体"/>
          <w:lang w:eastAsia="zh-CN"/>
        </w:rPr>
      </w:pPr>
      <w:bookmarkStart w:id="9" w:name="_Toc1985"/>
      <w:bookmarkStart w:id="10" w:name="_Toc11412_WPSOffice_Level1"/>
      <w:r>
        <w:rPr>
          <w:rFonts w:hint="eastAsia" w:ascii="黑体" w:hAnsi="黑体" w:eastAsia="黑体" w:cs="黑体"/>
          <w:lang w:eastAsia="zh-CN"/>
        </w:rPr>
        <w:t>三、涉及多税费种优惠政策</w:t>
      </w:r>
      <w:bookmarkEnd w:id="9"/>
      <w:bookmarkEnd w:id="10"/>
    </w:p>
    <w:p>
      <w:pPr>
        <w:rPr>
          <w:rFonts w:hint="eastAsia"/>
          <w:lang w:eastAsia="zh-CN"/>
        </w:rPr>
      </w:pPr>
    </w:p>
    <w:p>
      <w:pPr>
        <w:pStyle w:val="3"/>
        <w:pBdr>
          <w:bottom w:val="single" w:color="auto" w:sz="4" w:space="0"/>
        </w:pBdr>
        <w:shd w:val="clear" w:fill="B4C6E7" w:themeFill="accent5" w:themeFillTint="66"/>
        <w:bidi w:val="0"/>
        <w:outlineLvl w:val="1"/>
        <w:rPr>
          <w:rFonts w:hint="eastAsia"/>
        </w:rPr>
      </w:pPr>
      <w:bookmarkStart w:id="11" w:name="_Toc31755"/>
      <w:r>
        <w:rPr>
          <w:rFonts w:hint="eastAsia"/>
          <w:lang w:eastAsia="zh-CN"/>
        </w:rPr>
        <w:t>（一）</w:t>
      </w:r>
      <w:r>
        <w:rPr>
          <w:rFonts w:hint="eastAsia"/>
        </w:rPr>
        <w:t>财政部 税务总局关于进一步支持小微企业和个体工商户发展有关税费政策的公告</w:t>
      </w:r>
      <w:bookmarkEnd w:id="11"/>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44"/>
        </w:rPr>
        <w:t>财政部 税务总局关于进一步支持小微企业和个体工商户发展有关税费政策的公告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600" w:lineRule="exact"/>
        <w:ind w:righ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财政部 税务总局公告2023年第12号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420"/>
        <w:jc w:val="both"/>
        <w:textAlignment w:val="auto"/>
        <w:rPr>
          <w:rFonts w:hint="eastAsia" w:ascii="仿宋" w:hAnsi="仿宋" w:eastAsia="仿宋" w:cs="仿宋"/>
          <w:color w:val="auto"/>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为进一步支持小微企业和个体工商户发展，现将有关税费政策公告如下：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一、自2023年1月1日至2027年12月31日，对个体工商户年应纳税所得额不超过200万元的部分，减半征收个人所得税。个体工商户在享受现行其他个人所得税优惠政策的基础上，可叠加享受本条优惠政策。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自2023年1月1日至2027年12月31日，对增值税小规模纳税人、小型微利企业和个体工商户减半征收资源税（不含水资源税）、城市维护建设税、房产税、城镇土地使用税、印花税（不含证券交易印花税）、耕地占用税和教育费附加、地方教育附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三、对小型微利企业减按25%计算应纳税所得额，按20%的税率缴纳企业所得税政策，延续执行至2027年12月31日。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增值税小规模纳税人、小型微利企业和个体工商户已依法享受资源税、城市维护建设税、房产税、城镇土地使用税、印花税、耕地占用税、教育费附加、地方教育附加等其他优惠政策的，可叠加享受本公告第二条规定的优惠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五、本公告所称小型微利企业，是指从事国家非限制和禁止行业，且同时符合年度应纳税所得额不超过300万元、从业人数不超过300人、资产总额不超过5000万元等三个条件的企业。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从业人数，包括与企业建立劳动关系的职工人数和企业接受的劳务派遣用工人数。所称从业人数和资产总额指标，应按企业全年的季度平均值确定。具体计算公式如下：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季度平均值＝（季初值＋季末值）÷2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全年季度平均值＝全年各季度平均值之和÷4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年度中间开业或者终止经营活动的，以其实际经营期作为一个纳税年度确定上述相关指标。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小型微利企业的判定以企业所得税年度汇算清缴结果为准。登记为增值税一般纳税人的新设立的企业，从事国家非限制和禁止行业，且同时符合申报期上月末从业人数不超过300人、资产总额不超过5000万元等两个条件的，可在首次办理汇算清缴前按照小型微利企业申报享受第二条规定的优惠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六、本公告发布之日前，已征的相关税款，可抵减纳税人以后月份应缴纳税款或予以退还。发布之日前已办理注销的，不再追溯享受。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《财政部 税务总局关于进一步实施小微企业“六税两费”减免政策的公告》（财政部 税务总局公告2022年第10号）及《财政部 税务总局关于小微企业和个体工商户所得税优惠政策的公告》（财政部 税务总局公告2023年第6号）中个体工商户所得税优惠政策自2023年1月1日起相应停止执行。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jc w:val="center"/>
        <w:textAlignment w:val="auto"/>
        <w:rPr>
          <w:rFonts w:hint="eastAsia" w:ascii="仿宋" w:hAnsi="仿宋" w:eastAsia="仿宋" w:cs="仿宋"/>
          <w:color w:val="auto"/>
          <w:sz w:val="32"/>
          <w:szCs w:val="32"/>
        </w:rPr>
      </w:pPr>
      <w:r>
        <w:rPr>
          <w:rFonts w:hint="eastAsia" w:ascii="仿宋" w:hAnsi="仿宋" w:cs="仿宋"/>
          <w:color w:val="auto"/>
          <w:sz w:val="32"/>
          <w:szCs w:val="32"/>
          <w:lang w:val="en-US" w:eastAsia="zh-CN"/>
        </w:rPr>
        <w:t xml:space="preserve">                         </w:t>
      </w:r>
      <w:r>
        <w:rPr>
          <w:rFonts w:hint="eastAsia" w:ascii="仿宋" w:hAnsi="仿宋" w:eastAsia="仿宋" w:cs="仿宋"/>
          <w:color w:val="auto"/>
          <w:sz w:val="32"/>
          <w:szCs w:val="32"/>
        </w:rPr>
        <w:t>财政部 税务总局</w:t>
      </w:r>
    </w:p>
    <w:p>
      <w:pPr>
        <w:keepNext w:val="0"/>
        <w:keepLines w:val="0"/>
        <w:pageBreakBefore w:val="0"/>
        <w:kinsoku/>
        <w:wordWrap/>
        <w:overflowPunct/>
        <w:topLinePunct w:val="0"/>
        <w:autoSpaceDE/>
        <w:autoSpaceDN/>
        <w:bidi w:val="0"/>
        <w:adjustRightInd/>
        <w:snapToGrid/>
        <w:spacing w:line="336" w:lineRule="auto"/>
        <w:ind w:firstLine="5120" w:firstLineChars="16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2023年8月2</w:t>
      </w:r>
      <w:r>
        <w:rPr>
          <w:rFonts w:hint="eastAsia" w:ascii="仿宋" w:hAnsi="仿宋" w:cs="仿宋"/>
          <w:color w:val="auto"/>
          <w:sz w:val="32"/>
          <w:szCs w:val="32"/>
          <w:lang w:eastAsia="zh-CN"/>
        </w:rPr>
        <w:t>日</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pStyle w:val="3"/>
        <w:pBdr>
          <w:bottom w:val="single" w:color="auto" w:sz="4" w:space="0"/>
        </w:pBdr>
        <w:shd w:val="clear" w:fill="B4C6E7" w:themeFill="accent5" w:themeFillTint="66"/>
        <w:bidi w:val="0"/>
        <w:outlineLvl w:val="9"/>
        <w:rPr>
          <w:rFonts w:hint="eastAsia"/>
        </w:rPr>
      </w:pPr>
      <w:bookmarkStart w:id="12" w:name="_Toc3723"/>
      <w:r>
        <w:rPr>
          <w:rFonts w:hint="eastAsia"/>
          <w:lang w:eastAsia="zh-CN"/>
        </w:rPr>
        <w:t>（二）</w:t>
      </w:r>
      <w:r>
        <w:rPr>
          <w:rFonts w:hint="eastAsia"/>
        </w:rPr>
        <w:t>财政部 税务总局关于支持小微企业融资有关税收政策的公告</w:t>
      </w:r>
      <w:bookmarkEnd w:id="12"/>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600" w:lineRule="atLeast"/>
        <w:ind w:left="0" w:right="0"/>
        <w:jc w:val="center"/>
        <w:textAlignment w:val="auto"/>
        <w:rPr>
          <w:rFonts w:hint="eastAsia" w:ascii="方正小标宋简体" w:hAnsi="方正小标宋简体" w:eastAsia="方正小标宋简体" w:cs="方正小标宋简体"/>
          <w:sz w:val="44"/>
          <w:szCs w:val="44"/>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60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财政部 税务总局关于支持小微企业融资有关税收政策的公告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jc w:val="center"/>
        <w:textAlignment w:val="auto"/>
        <w:rPr>
          <w:rFonts w:hint="eastAsia" w:ascii="仿宋" w:hAnsi="仿宋" w:eastAsia="仿宋" w:cs="仿宋"/>
          <w:color w:val="auto"/>
          <w:sz w:val="32"/>
          <w:szCs w:val="32"/>
        </w:rPr>
      </w:pPr>
      <w:r>
        <w:rPr>
          <w:rFonts w:hint="eastAsia" w:ascii="仿宋" w:hAnsi="仿宋" w:eastAsia="仿宋" w:cs="仿宋"/>
          <w:b w:val="0"/>
          <w:i w:val="0"/>
          <w:caps w:val="0"/>
          <w:color w:val="auto"/>
          <w:spacing w:val="0"/>
          <w:sz w:val="32"/>
          <w:szCs w:val="32"/>
          <w:shd w:val="clear" w:fill="FFFFFF"/>
        </w:rPr>
        <w:t>财政部 税务总局公告2023年第13号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420"/>
        <w:jc w:val="both"/>
        <w:textAlignment w:val="auto"/>
        <w:rPr>
          <w:rFonts w:hint="eastAsia" w:ascii="仿宋" w:hAnsi="仿宋" w:eastAsia="仿宋" w:cs="仿宋"/>
          <w:color w:val="auto"/>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为继续加大对小微企业的支持力度，推动缓解融资难、融资贵问题，现将有关税收政策公告如下：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对金融机构向小型企业、微型企业及个体工商户发放小额贷款取得的利息收入，免征增值税。金融机构应将相关免税证明材料留存备查，单独核算符合免税条件的小额贷款利息收入，按现行规定向主管税务机关办理纳税申报；未单独核算的，不得免征增值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二、对金融机构与小型企业、微型企业签订的借款合同免征印花税。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本公告所称小型企业、微型企业，是指符合《中小企业划型标准规定》（工信部联企业〔2011〕300号）的小型企业和微型企业。其中，资产总额和从业人员指标均以贷款发放时的实际状态确定；营业收入指标以贷款发放前12个自然月的累计数确定，不满12个自然月的，按照以下公式计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营业收入（年）=企业实际存续期间营业收入/企业实际存续月数×12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四、本公告所称小额贷款，是指单户授信小于100万元（含本数）的小型企业、微型企业或个体工商户贷款；没有授信额度的，是指单户贷款合同金额且贷款余额在100万元（含本数）以下的贷款。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五、本公告执行至2027年12月31日。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420"/>
        <w:jc w:val="both"/>
        <w:textAlignment w:val="auto"/>
        <w:rPr>
          <w:rFonts w:hint="eastAsia" w:ascii="仿宋" w:hAnsi="仿宋" w:eastAsia="仿宋" w:cs="仿宋"/>
          <w:color w:val="auto"/>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jc w:val="center"/>
        <w:textAlignment w:val="auto"/>
        <w:rPr>
          <w:rFonts w:hint="eastAsia" w:ascii="仿宋" w:hAnsi="仿宋" w:eastAsia="仿宋" w:cs="仿宋"/>
          <w:color w:val="auto"/>
          <w:sz w:val="32"/>
          <w:szCs w:val="32"/>
        </w:rPr>
      </w:pPr>
      <w:r>
        <w:rPr>
          <w:rFonts w:hint="eastAsia" w:ascii="仿宋" w:hAnsi="仿宋" w:cs="仿宋"/>
          <w:color w:val="auto"/>
          <w:sz w:val="32"/>
          <w:szCs w:val="32"/>
          <w:lang w:val="en-US" w:eastAsia="zh-CN"/>
        </w:rPr>
        <w:t xml:space="preserve">                     </w:t>
      </w:r>
      <w:r>
        <w:rPr>
          <w:rFonts w:hint="eastAsia" w:ascii="仿宋" w:hAnsi="仿宋" w:eastAsia="仿宋" w:cs="仿宋"/>
          <w:color w:val="auto"/>
          <w:sz w:val="32"/>
          <w:szCs w:val="32"/>
        </w:rPr>
        <w:t>财政部 税务总局</w:t>
      </w:r>
    </w:p>
    <w:p>
      <w:pPr>
        <w:keepNext w:val="0"/>
        <w:keepLines w:val="0"/>
        <w:pageBreakBefore w:val="0"/>
        <w:kinsoku/>
        <w:wordWrap/>
        <w:overflowPunct/>
        <w:topLinePunct w:val="0"/>
        <w:autoSpaceDE/>
        <w:autoSpaceDN/>
        <w:bidi w:val="0"/>
        <w:adjustRightInd/>
        <w:snapToGrid/>
        <w:spacing w:line="336" w:lineRule="auto"/>
        <w:ind w:firstLine="4800" w:firstLineChars="1500"/>
        <w:textAlignment w:val="auto"/>
        <w:rPr>
          <w:rFonts w:hint="eastAsia" w:ascii="仿宋" w:hAnsi="仿宋" w:cs="仿宋"/>
          <w:color w:val="auto"/>
          <w:sz w:val="32"/>
          <w:szCs w:val="32"/>
          <w:lang w:eastAsia="zh-CN"/>
        </w:rPr>
      </w:pPr>
      <w:r>
        <w:rPr>
          <w:rFonts w:hint="eastAsia" w:ascii="仿宋" w:hAnsi="仿宋" w:eastAsia="仿宋" w:cs="仿宋"/>
          <w:color w:val="auto"/>
          <w:sz w:val="32"/>
          <w:szCs w:val="32"/>
        </w:rPr>
        <w:t>2023年8月2</w:t>
      </w:r>
      <w:r>
        <w:rPr>
          <w:rFonts w:hint="eastAsia" w:ascii="仿宋" w:hAnsi="仿宋" w:cs="仿宋"/>
          <w:color w:val="auto"/>
          <w:sz w:val="32"/>
          <w:szCs w:val="32"/>
          <w:lang w:eastAsia="zh-CN"/>
        </w:rPr>
        <w:t>日</w:t>
      </w:r>
    </w:p>
    <w:p>
      <w:pPr>
        <w:rPr>
          <w:rFonts w:hint="eastAsia" w:ascii="仿宋" w:hAnsi="仿宋" w:cs="仿宋"/>
          <w:color w:val="auto"/>
          <w:sz w:val="32"/>
          <w:szCs w:val="32"/>
          <w:lang w:eastAsia="zh-CN"/>
        </w:rPr>
      </w:pPr>
      <w:r>
        <w:rPr>
          <w:rFonts w:hint="eastAsia" w:ascii="仿宋" w:hAnsi="仿宋" w:cs="仿宋"/>
          <w:color w:val="auto"/>
          <w:sz w:val="32"/>
          <w:szCs w:val="32"/>
          <w:lang w:eastAsia="zh-CN"/>
        </w:rPr>
        <w:br w:type="page"/>
      </w:r>
    </w:p>
    <w:p>
      <w:pPr>
        <w:pStyle w:val="3"/>
        <w:pBdr>
          <w:bottom w:val="single" w:color="auto" w:sz="4" w:space="0"/>
        </w:pBdr>
        <w:shd w:val="clear" w:fill="B4C6E7" w:themeFill="accent5" w:themeFillTint="66"/>
        <w:bidi w:val="0"/>
        <w:outlineLvl w:val="9"/>
        <w:rPr>
          <w:rFonts w:hint="eastAsia"/>
          <w:lang w:val="en-US" w:eastAsia="zh-CN"/>
        </w:rPr>
      </w:pPr>
      <w:bookmarkStart w:id="13" w:name="_Toc15589"/>
      <w:r>
        <w:rPr>
          <w:rFonts w:hint="eastAsia"/>
          <w:lang w:val="en-US" w:eastAsia="zh-CN"/>
        </w:rPr>
        <w:t>（三）财政部 税务总局关于延续执行创业投资企业和天使投资个人投资初创科技型企业有关政策条件的公告</w:t>
      </w:r>
      <w:bookmarkEnd w:id="13"/>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仿宋" w:hAnsi="仿宋" w:eastAsia="仿宋" w:cs="仿宋"/>
          <w:b w:val="0"/>
          <w:i w:val="0"/>
          <w:caps w:val="0"/>
          <w:color w:val="auto"/>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仿宋" w:hAnsi="仿宋" w:eastAsia="仿宋" w:cs="仿宋"/>
          <w:b w:val="0"/>
          <w:i w:val="0"/>
          <w:caps w:val="0"/>
          <w:color w:val="auto"/>
          <w:spacing w:val="0"/>
          <w:sz w:val="32"/>
          <w:szCs w:val="32"/>
          <w:shd w:val="clear" w:fill="FFFFFF"/>
        </w:rPr>
      </w:pPr>
      <w:r>
        <w:rPr>
          <w:rFonts w:hint="eastAsia" w:ascii="方正小标宋简体" w:hAnsi="方正小标宋简体" w:eastAsia="方正小标宋简体" w:cs="方正小标宋简体"/>
          <w:b w:val="0"/>
          <w:i w:val="0"/>
          <w:caps w:val="0"/>
          <w:color w:val="auto"/>
          <w:spacing w:val="0"/>
          <w:sz w:val="44"/>
          <w:szCs w:val="44"/>
          <w:shd w:val="clear" w:fill="FFFFFF"/>
        </w:rPr>
        <w:t>财政部 税务总局关于延续执行创业投资企业和天使投资个人投资初创科技型企业有关政策条件的公告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jc w:val="center"/>
        <w:textAlignment w:val="auto"/>
        <w:rPr>
          <w:rFonts w:hint="eastAsia" w:ascii="仿宋" w:hAnsi="仿宋" w:eastAsia="仿宋" w:cs="仿宋"/>
          <w:color w:val="auto"/>
          <w:sz w:val="32"/>
          <w:szCs w:val="32"/>
        </w:rPr>
      </w:pPr>
      <w:r>
        <w:rPr>
          <w:rFonts w:hint="eastAsia" w:ascii="仿宋" w:hAnsi="仿宋" w:eastAsia="仿宋" w:cs="仿宋"/>
          <w:b w:val="0"/>
          <w:i w:val="0"/>
          <w:caps w:val="0"/>
          <w:color w:val="auto"/>
          <w:spacing w:val="0"/>
          <w:sz w:val="32"/>
          <w:szCs w:val="32"/>
          <w:shd w:val="clear" w:fill="FFFFFF"/>
        </w:rPr>
        <w:t>财政部 税务总局公告2023年第17号</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仿宋" w:hAnsi="仿宋" w:eastAsia="仿宋" w:cs="仿宋"/>
          <w:color w:val="auto"/>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为进一步支持创业创新，现就创业投资企业和天使投资个人投资初创科技型企业有关税收政策事项公告如下：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对于初创科技型企业需符合的条件，从业人数继续按不超过300人、资产总额和年销售收入按均不超过5000万元执行，《财政部 税务总局关于创业投资企业和天使投资个人有关税收政策的通知》（财税〔2018〕55号）规定的其他条件不变。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在此期间已投资满2年及新发生的投资，可按财税〔2018〕55号文件和本公告规定适用有关税收政策。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本公告执行至2027年12月31日。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jc w:val="center"/>
        <w:textAlignment w:val="auto"/>
        <w:rPr>
          <w:rFonts w:hint="eastAsia" w:ascii="仿宋" w:hAnsi="仿宋" w:eastAsia="仿宋" w:cs="仿宋"/>
          <w:color w:val="auto"/>
          <w:sz w:val="32"/>
          <w:szCs w:val="32"/>
        </w:rPr>
      </w:pPr>
      <w:r>
        <w:rPr>
          <w:rFonts w:hint="eastAsia" w:ascii="仿宋" w:hAnsi="仿宋" w:cs="仿宋"/>
          <w:color w:val="auto"/>
          <w:sz w:val="32"/>
          <w:szCs w:val="32"/>
          <w:lang w:val="en-US" w:eastAsia="zh-CN"/>
        </w:rPr>
        <w:t xml:space="preserve">                   </w:t>
      </w:r>
      <w:r>
        <w:rPr>
          <w:rFonts w:hint="eastAsia" w:ascii="仿宋" w:hAnsi="仿宋" w:eastAsia="仿宋" w:cs="仿宋"/>
          <w:color w:val="auto"/>
          <w:sz w:val="32"/>
          <w:szCs w:val="32"/>
        </w:rPr>
        <w:t>财政部 税务总局</w:t>
      </w:r>
    </w:p>
    <w:p>
      <w:pPr>
        <w:keepNext w:val="0"/>
        <w:keepLines w:val="0"/>
        <w:pageBreakBefore w:val="0"/>
        <w:kinsoku/>
        <w:wordWrap/>
        <w:overflowPunct/>
        <w:topLinePunct w:val="0"/>
        <w:autoSpaceDE/>
        <w:autoSpaceDN/>
        <w:bidi w:val="0"/>
        <w:adjustRightInd/>
        <w:snapToGrid/>
        <w:spacing w:line="336" w:lineRule="auto"/>
        <w:ind w:firstLine="3200" w:firstLineChars="100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2023年8月1</w:t>
      </w:r>
      <w:r>
        <w:rPr>
          <w:rFonts w:hint="eastAsia" w:ascii="仿宋" w:hAnsi="仿宋" w:eastAsia="仿宋" w:cs="仿宋"/>
          <w:color w:val="auto"/>
          <w:sz w:val="32"/>
          <w:szCs w:val="32"/>
          <w:lang w:eastAsia="zh-CN"/>
        </w:rPr>
        <w:t>日</w:t>
      </w:r>
    </w:p>
    <w:p>
      <w:pPr>
        <w:pStyle w:val="2"/>
        <w:shd w:val="clear" w:fill="1F3863" w:themeFill="accent5" w:themeFillShade="7F"/>
        <w:bidi w:val="0"/>
        <w:outlineLvl w:val="9"/>
        <w:rPr>
          <w:rFonts w:hint="eastAsia" w:ascii="黑体" w:hAnsi="黑体" w:eastAsia="黑体" w:cs="黑体"/>
          <w:lang w:eastAsia="zh-CN"/>
        </w:rPr>
      </w:pPr>
      <w:bookmarkStart w:id="14" w:name="_Toc9332"/>
      <w:r>
        <w:rPr>
          <w:rFonts w:hint="eastAsia" w:ascii="黑体" w:hAnsi="黑体" w:eastAsia="黑体" w:cs="黑体"/>
          <w:lang w:eastAsia="zh-CN"/>
        </w:rPr>
        <w:t>四、重点群体和自主就业退役士兵优惠政策</w:t>
      </w:r>
      <w:bookmarkEnd w:id="14"/>
    </w:p>
    <w:p>
      <w:pPr>
        <w:pStyle w:val="3"/>
        <w:pBdr>
          <w:bottom w:val="single" w:color="auto" w:sz="4" w:space="0"/>
        </w:pBdr>
        <w:shd w:val="clear"/>
        <w:bidi w:val="0"/>
        <w:outlineLvl w:val="9"/>
        <w:rPr>
          <w:rFonts w:hint="eastAsia"/>
          <w:lang w:eastAsia="zh-CN"/>
        </w:rPr>
      </w:pPr>
    </w:p>
    <w:p>
      <w:pPr>
        <w:pStyle w:val="3"/>
        <w:pBdr>
          <w:bottom w:val="single" w:color="auto" w:sz="4" w:space="0"/>
        </w:pBdr>
        <w:shd w:val="clear" w:fill="B4C6E7" w:themeFill="accent5" w:themeFillTint="66"/>
        <w:bidi w:val="0"/>
        <w:outlineLvl w:val="9"/>
        <w:rPr>
          <w:rFonts w:hint="eastAsia"/>
          <w:lang w:eastAsia="zh-CN"/>
        </w:rPr>
      </w:pPr>
      <w:bookmarkStart w:id="15" w:name="_Toc26974"/>
      <w:r>
        <w:rPr>
          <w:rFonts w:hint="eastAsia"/>
          <w:lang w:eastAsia="zh-CN"/>
        </w:rPr>
        <w:t>（一）财政部 税务总局 人力资源社会保障部 农业农村部关于进一步支持重点群体创业就业有关税收政策的公告</w:t>
      </w:r>
      <w:bookmarkEnd w:id="15"/>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jc w:val="center"/>
        <w:textAlignment w:val="auto"/>
        <w:rPr>
          <w:rFonts w:hint="eastAsi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60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财政部 税务总局 人力资源社会保障部 农业农村部关于进一步支持重点群体创业就业有关税收政策的公告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jc w:val="center"/>
        <w:textAlignment w:val="auto"/>
        <w:rPr>
          <w:rFonts w:hint="eastAsia" w:ascii="仿宋" w:hAnsi="仿宋" w:eastAsia="仿宋" w:cs="仿宋"/>
          <w:color w:val="auto"/>
          <w:sz w:val="32"/>
          <w:szCs w:val="32"/>
        </w:rPr>
      </w:pPr>
      <w:r>
        <w:rPr>
          <w:rFonts w:hint="eastAsia" w:ascii="仿宋" w:hAnsi="仿宋" w:eastAsia="仿宋" w:cs="仿宋"/>
          <w:b w:val="0"/>
          <w:i w:val="0"/>
          <w:caps w:val="0"/>
          <w:color w:val="auto"/>
          <w:spacing w:val="0"/>
          <w:sz w:val="32"/>
          <w:szCs w:val="32"/>
          <w:shd w:val="clear" w:fill="FFFFFF"/>
        </w:rPr>
        <w:t>财政部 税务总局 人力资源社会保障部 农业农村部公告2023年第15号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为进一步支持重点群体创业就业，现将有关税收政策公告如下：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自2023年1月1日至2027年12月31日，脱贫人口（含防止返贫监测对象，下同）、持《就业创业证》（注明“自主创业税收政策”或“毕业年度内自主创业税收政策”）或《就业失业登记证》（注明“自主创业税收政策”）的人员，从事个体经营的，自办理个体工商户登记当月起，在3年（36个月，下同）内按每户每年20000元为限额依次扣减其当年实际应缴纳的增值税、城市维护建设税、教育费附加、地方教育附加和个人所得税。限额标准最高可上浮20%，各省、自治区、直辖市人民政府可根据本地区实际情况在此幅度内确定具体限额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纳税人年度应缴纳税款小于上述扣减限额的，减免税额以其实际缴纳的税款为限；大于上述扣减限额的，以上述扣减限额为限。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上述人员具体包括：1.纳入全国防止返贫监测和衔接推进乡村振兴信息系统的脱贫人口；2.在人力资源社会保障部门公共就业服务机构登记失业半年以上的人员；3.零就业家庭、享受城市居民最低生活保障家庭劳动年龄内的登记失业人员；4.毕业年度内高校毕业生。高校毕业生是指实施高等学历教育的普通高等学校、成人高等学校应届毕业的学生；毕业年度是指毕业所在自然年，即1月1日至12月31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自2023年1月1日至2027年12月31日，企业招用脱贫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30%，各省、自治区、直辖市人民政府可根据本地区实际情况在此幅度内确定具体定额标准。城市维护建设税、教育费附加、地方教育附加的计税依据是享受本项税收优惠政策前的增值税应纳税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按上述标准计算的税收扣减额应在企业当年实际应缴纳的增值税、城市维护建设税、教育费附加、地方教育附加和企业所得税税额中扣减，当年扣减不完的，不得结转下年使用。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本公告所称企业是指属于增值税纳税人或企业所得税纳税人的企业等单位。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三、农业农村部（国家乡村振兴局）、人力资源社会保障部、税务总局要实现脱贫人口身份信息数据共享，推动数据下沉。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四、企业招用就业人员既可以适用本公告规定的税收优惠政策，又可以适用其他扶持就业专项税收优惠政策的，企业可以选择适用最优惠的政策，但不得重复享受。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纳税人在2027年12月31日享受本公告规定的税收优惠政策未满3年的，可继续享受至3年期满为止。本公告所述人员，以前年度已享受重点群体创业就业税收优惠政策满3年的，不得再享受本公告规定的税收优惠政策；以前年度享受重点群体创业就业税收优惠政策未满3年且符合本公告规定条件的，可按本公告规定享受优惠至3年期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六、按本公告规定应予减征的税费，在本公告发布前已征收的，可抵减纳税人以后纳税期应缴纳税费或予以退还。发布之日前已办理注销的，不再追溯享受。</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财政部 税务总局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right="0" w:firstLine="3200" w:firstLineChars="10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人力资源社会保障部 农业农村部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cs="仿宋"/>
          <w:color w:val="auto"/>
          <w:sz w:val="32"/>
          <w:szCs w:val="32"/>
          <w:lang w:val="en-US"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2023年8月2日</w:t>
      </w:r>
    </w:p>
    <w:p>
      <w:pPr>
        <w:rPr>
          <w:rFonts w:hint="eastAsia"/>
          <w:lang w:eastAsia="zh-CN"/>
        </w:rPr>
      </w:pPr>
      <w:r>
        <w:rPr>
          <w:rFonts w:hint="eastAsia"/>
          <w:lang w:eastAsia="zh-CN"/>
        </w:rPr>
        <w:br w:type="page"/>
      </w:r>
    </w:p>
    <w:p>
      <w:pPr>
        <w:pStyle w:val="3"/>
        <w:pBdr>
          <w:bottom w:val="single" w:color="auto" w:sz="4" w:space="0"/>
        </w:pBdr>
        <w:shd w:val="clear" w:fill="B4C6E7" w:themeFill="accent5" w:themeFillTint="66"/>
        <w:bidi w:val="0"/>
        <w:outlineLvl w:val="9"/>
        <w:rPr>
          <w:rFonts w:hint="eastAsia"/>
          <w:lang w:eastAsia="zh-CN"/>
        </w:rPr>
      </w:pPr>
      <w:bookmarkStart w:id="16" w:name="_Toc28048"/>
      <w:r>
        <w:rPr>
          <w:rFonts w:hint="eastAsia"/>
          <w:lang w:eastAsia="zh-CN"/>
        </w:rPr>
        <w:t>（二</w:t>
      </w:r>
      <w:r>
        <w:rPr>
          <w:rFonts w:hint="eastAsia"/>
          <w:lang w:val="en-US" w:eastAsia="zh-CN"/>
        </w:rPr>
        <w:t>）</w:t>
      </w:r>
      <w:r>
        <w:rPr>
          <w:rFonts w:hint="eastAsia"/>
          <w:lang w:eastAsia="zh-CN"/>
        </w:rPr>
        <w:t>财政部 税务总局 退役军人事务部关于进一步扶持自主就业退役士兵创业就业有关税收政策的公告</w:t>
      </w:r>
      <w:bookmarkEnd w:id="16"/>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ascii="方正小标宋简体" w:hAnsi="方正小标宋简体" w:eastAsia="方正小标宋简体" w:cs="方正小标宋简体"/>
          <w:sz w:val="44"/>
          <w:szCs w:val="44"/>
        </w:rPr>
        <w:t>财政部 税务总局 退役军人事务部关于进一步扶持自主就业退役士兵创业就业有关税收政策的公告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600" w:lineRule="exact"/>
        <w:ind w:left="0" w:right="0"/>
        <w:jc w:val="center"/>
        <w:textAlignment w:val="auto"/>
        <w:rPr>
          <w:rFonts w:hint="eastAsia" w:ascii="仿宋" w:hAnsi="仿宋" w:eastAsia="仿宋" w:cs="仿宋"/>
          <w:color w:val="auto"/>
          <w:sz w:val="32"/>
          <w:szCs w:val="32"/>
        </w:rPr>
      </w:pPr>
      <w:r>
        <w:rPr>
          <w:rFonts w:hint="eastAsia" w:ascii="仿宋" w:hAnsi="仿宋" w:eastAsia="仿宋" w:cs="仿宋"/>
          <w:b w:val="0"/>
          <w:i w:val="0"/>
          <w:caps w:val="0"/>
          <w:color w:val="auto"/>
          <w:spacing w:val="0"/>
          <w:sz w:val="32"/>
          <w:szCs w:val="32"/>
          <w:shd w:val="clear" w:fill="FFFFFF"/>
        </w:rPr>
        <w:t>财政部 税务总局 退役军人事务部公告2023年第14号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420"/>
        <w:jc w:val="both"/>
        <w:textAlignment w:val="auto"/>
        <w:rPr>
          <w:rFonts w:hint="eastAsia" w:ascii="仿宋" w:hAnsi="仿宋" w:eastAsia="仿宋" w:cs="仿宋"/>
          <w:color w:val="auto"/>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为进一步扶持自主就业退役士兵创业就业，现将有关税收政策公告如下：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自2023年1月1日至2027年12月31日，自主就业退役士兵从事个体经营的，自办理个体工商户登记当月起，在3年（36个月，下同）内按每户每年20000元为限额依次扣减其当年实际应缴纳的增值税、城市维护建设税、教育费附加、地方教育附加和个人所得税。限额标准最高可上浮20%，各省、自治区、直辖市人民政府可根据本地区实际情况在此幅度内确定具体限额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纳税人年度应缴纳税款小于上述扣减限额的，减免税额以其实际缴纳的税款为限；大于上述扣减限额的，以上述扣减限额为限。纳税人的实际经营期不足1年的，应当按月换算其减免税限额。换算公式为：减免税限额=年度减免税限额÷12×实际经营月数。城市维护建设税、教育费附加、地方教育附加的计税依据是享受本项税收优惠政策前的增值税应纳税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自2023年1月1日至2027年12月31日，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50%，各省、自治区、直辖市人民政府可根据本地区实际情况在此幅度内确定具体定额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按招用人数和签订的劳动合同时间核算企业减免税总额，在核算减免税总额内每月依次扣减增值税、城市维护建设税、教育费附加和地方教育附加。企业实际应缴纳的增值税、城市维护建设税、教育费附加和地方教育附加小于核算减免税总额的，以实际应缴纳的增值税、城市维护建设税、教育费附加和地方教育附加为限；实际应缴纳的增值税、城市维护建设税、教育费附加和地方教育附加大于核算减免税总额的，以核算减免税总额为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纳税年度终了，如果企业实际减免的增值税、城市维护建设税、教育费附加和地方教育附加小于核算减免税总额，企业在企业所得税汇算清缴时以差额部分扣减企业所得税。当年扣减不完的，不再结转以后年度扣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自主就业退役士兵在企业工作不满1年的，应当按月换算减免税限额。计算公式为：企业核算减免税总额=Σ每名自主就业退役士兵本年度在本单位工作月份÷12×具体定额标准。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城市维护建设税、教育费附加、地方教育附加的计税依据是享受本项税收优惠政策前的增值税应纳税额。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三、本公告所称自主就业退役士兵是指依照《退役士兵安置条例》（国务院 中央军委令第608号）的规定退出现役并按自主就业方式安置的退役士兵。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本公告所称企业是指属于增值税纳税人或企业所得税纳税人的企业等单位。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自主就业退役士兵从事个体经营的，在享受税收优惠政策进行纳税申报时，注明其退役军人身份，并将《中国人民解放军退出现役证书》、《中国人民解放军义务兵退出现役证》、《中国人民解放军士官退出现役证》或《中国人民武装警察部队退出现役证书》、《中国人民武装警察部队义务兵退出现役证》、《中国人民武装警察部队士官退出现役证》留存备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招用自主就业退役士兵享受税收优惠政策的，将以下资料留存备查：1.招用自主就业退役士兵的《中国人民解放军退出现役证书》、《中国人民解放军义务兵退出现役证》、《中国人民解放军士官退出现役证》或《中国人民武装警察部队退出现役证书》、《中国人民武装警察部队义务兵退出现役证》、《中国人民武装警察部队士官退出现役证》；2.企业与招用自主就业退役士兵签订的劳动合同（副本），为职工缴纳的社会保险费记录；3.自主就业退役士兵本年度在企业工作时间表(见附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五、企业招用自主就业退役士兵既可以适用本公告规定的税收优惠政策，又可以适用其他扶持就业专项税收优惠政策的，企业可以选择适用最优惠的政策，但不得重复享受。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纳税人在2027年12月31日享受本公告规定的税收优惠政策未满3年的，可继续享受至3年期满为止。退役士兵以前年度已享受退役士兵创业就业税收优惠政策满3年的，不得再享受本公告规定的税收优惠政策；以前年度享受退役士兵创业就业税收优惠政策未满3年且符合本公告规定条件的，可按本公告规定享受优惠至3年期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739" w:firstLineChars="231"/>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七、按本公告规定应予减征的税费，在本公告发布前已征收的，可抵减纳税人以后纳税期应缴纳税费或予以退还。发布之日前已办理注销的，不再追溯享受。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1056" w:firstLineChars="33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420"/>
        <w:jc w:val="right"/>
        <w:textAlignment w:val="auto"/>
        <w:rPr>
          <w:rFonts w:hint="eastAsia" w:ascii="仿宋" w:hAnsi="仿宋" w:eastAsia="仿宋" w:cs="仿宋"/>
          <w:color w:val="auto"/>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36" w:lineRule="auto"/>
        <w:ind w:left="0" w:right="0" w:firstLine="42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财政部 税务总局 退役军人事务部</w:t>
      </w:r>
    </w:p>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仿宋" w:hAnsi="仿宋" w:eastAsia="仿宋" w:cs="仿宋"/>
          <w:color w:val="auto"/>
          <w:sz w:val="32"/>
          <w:szCs w:val="32"/>
          <w:lang w:eastAsia="zh-CN"/>
        </w:rPr>
      </w:pPr>
      <w:r>
        <w:rPr>
          <w:rFonts w:hint="eastAsia" w:ascii="仿宋" w:hAnsi="仿宋" w:cs="仿宋"/>
          <w:color w:val="auto"/>
          <w:sz w:val="32"/>
          <w:szCs w:val="32"/>
          <w:lang w:val="en-US" w:eastAsia="zh-CN"/>
        </w:rPr>
        <w:t xml:space="preserve">                         </w:t>
      </w:r>
      <w:r>
        <w:rPr>
          <w:rFonts w:hint="eastAsia" w:ascii="仿宋" w:hAnsi="仿宋" w:eastAsia="仿宋" w:cs="仿宋"/>
          <w:color w:val="auto"/>
          <w:sz w:val="32"/>
          <w:szCs w:val="32"/>
        </w:rPr>
        <w:t>2023年8月2</w:t>
      </w:r>
      <w:r>
        <w:rPr>
          <w:rFonts w:hint="eastAsia" w:ascii="仿宋" w:hAnsi="仿宋" w:cs="仿宋"/>
          <w:color w:val="auto"/>
          <w:sz w:val="32"/>
          <w:szCs w:val="32"/>
          <w:lang w:eastAsia="zh-CN"/>
        </w:rPr>
        <w:t>日</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仿宋" w:hAnsi="仿宋" w:eastAsia="仿宋" w:cs="仿宋"/>
          <w:color w:val="auto"/>
          <w:sz w:val="32"/>
          <w:szCs w:val="32"/>
        </w:rPr>
      </w:pPr>
    </w:p>
    <w:p>
      <w:pPr>
        <w:rPr>
          <w:rFonts w:hint="eastAsia"/>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cs="仿宋"/>
          <w:sz w:val="32"/>
          <w:szCs w:val="32"/>
          <w:lang w:eastAsia="zh-CN"/>
        </w:rPr>
      </w:pPr>
    </w:p>
    <w:p>
      <w:pPr>
        <w:ind w:firstLine="3200" w:firstLineChars="1000"/>
        <w:rPr>
          <w:rFonts w:hint="eastAsia" w:ascii="仿宋" w:hAnsi="仿宋" w:cs="仿宋"/>
          <w:sz w:val="32"/>
          <w:szCs w:val="32"/>
          <w:lang w:eastAsia="zh-CN"/>
        </w:rPr>
      </w:pPr>
    </w:p>
    <w:sectPr>
      <w:footerReference r:id="rId7" w:type="default"/>
      <w:pgSz w:w="11906" w:h="16838"/>
      <w:pgMar w:top="1440" w:right="1800" w:bottom="1440" w:left="1800" w:header="567" w:footer="935"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5287"/>
        <w:tab w:val="clear" w:pos="4153"/>
      </w:tabs>
    </w:pPr>
    <w:r>
      <mc:AlternateContent>
        <mc:Choice Requires="wps">
          <w:drawing>
            <wp:anchor distT="0" distB="0" distL="114300" distR="114300" simplePos="0" relativeHeight="251662336" behindDoc="0" locked="0" layoutInCell="1" allowOverlap="1">
              <wp:simplePos x="0" y="0"/>
              <wp:positionH relativeFrom="column">
                <wp:posOffset>3619500</wp:posOffset>
              </wp:positionH>
              <wp:positionV relativeFrom="paragraph">
                <wp:posOffset>-86995</wp:posOffset>
              </wp:positionV>
              <wp:extent cx="2219325" cy="341630"/>
              <wp:effectExtent l="0" t="0" r="0" b="0"/>
              <wp:wrapNone/>
              <wp:docPr id="16" name="TextBox 23"/>
              <wp:cNvGraphicFramePr/>
              <a:graphic xmlns:a="http://schemas.openxmlformats.org/drawingml/2006/main">
                <a:graphicData uri="http://schemas.microsoft.com/office/word/2010/wordprocessingShape">
                  <wps:wsp>
                    <wps:cNvSpPr txBox="true"/>
                    <wps:spPr>
                      <a:xfrm>
                        <a:off x="0" y="0"/>
                        <a:ext cx="2219325" cy="341630"/>
                      </a:xfrm>
                      <a:prstGeom prst="rect">
                        <a:avLst/>
                      </a:prstGeom>
                      <a:noFill/>
                    </wps:spPr>
                    <wps:txbx>
                      <w:txbxContent>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jc w:val="left"/>
                            <w:textAlignment w:val="top"/>
                            <w:rPr>
                              <w:sz w:val="21"/>
                              <w:szCs w:val="21"/>
                            </w:rPr>
                          </w:pPr>
                          <w:r>
                            <w:rPr>
                              <w:rFonts w:ascii="宋体" w:eastAsia="宋体" w:hAnsiTheme="minorBidi"/>
                              <w:color w:val="002060"/>
                              <w:kern w:val="24"/>
                              <w:sz w:val="22"/>
                              <w:szCs w:val="22"/>
                            </w:rPr>
                            <w:t>◎</w:t>
                          </w:r>
                          <w:r>
                            <w:rPr>
                              <w:rFonts w:ascii="Calibri" w:eastAsia="微软雅黑" w:hAnsiTheme="minorBidi"/>
                              <w:color w:val="002060"/>
                              <w:kern w:val="24"/>
                              <w:sz w:val="22"/>
                              <w:szCs w:val="22"/>
                            </w:rPr>
                            <w:t>国家税务总局青岛市税务局</w:t>
                          </w:r>
                        </w:p>
                      </w:txbxContent>
                    </wps:txbx>
                    <wps:bodyPr wrap="square" rtlCol="0">
                      <a:noAutofit/>
                    </wps:bodyPr>
                  </wps:wsp>
                </a:graphicData>
              </a:graphic>
            </wp:anchor>
          </w:drawing>
        </mc:Choice>
        <mc:Fallback>
          <w:pict>
            <v:shape id="TextBox 23" o:spid="_x0000_s1026" o:spt="202" type="#_x0000_t202" style="position:absolute;left:0pt;margin-left:285pt;margin-top:-6.85pt;height:26.9pt;width:174.75pt;z-index:251662336;mso-width-relative:page;mso-height-relative:page;" filled="f" stroked="f" coordsize="21600,21600" o:gfxdata="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Dv5Q822AAAAAoB&#10;AAAPAAAAAAAAAAEAIAAAADgAAABkcnMvZG93bnJldi54bWxQSwECFAAUAAAACACHTuJABhQ1UZMB&#10;AAASAwAADgAAAAAAAAABACAAAAA9AQAAZHJzL2Uyb0RvYy54bWxQSwUGAAAAAAYABgBZAQAAQgUA&#10;AAAA&#10;">
              <v:fill on="f" focussize="0,0"/>
              <v:stroke on="f"/>
              <v:imagedata o:title=""/>
              <o:lock v:ext="edit" aspectratio="f"/>
              <v:textbox>
                <w:txbxContent>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jc w:val="left"/>
                      <w:textAlignment w:val="top"/>
                      <w:rPr>
                        <w:sz w:val="21"/>
                        <w:szCs w:val="21"/>
                      </w:rPr>
                    </w:pPr>
                    <w:r>
                      <w:rPr>
                        <w:rFonts w:ascii="宋体" w:eastAsia="宋体" w:hAnsiTheme="minorBidi"/>
                        <w:color w:val="002060"/>
                        <w:kern w:val="24"/>
                        <w:sz w:val="22"/>
                        <w:szCs w:val="22"/>
                      </w:rPr>
                      <w:t>◎</w:t>
                    </w:r>
                    <w:r>
                      <w:rPr>
                        <w:rFonts w:ascii="Calibri" w:eastAsia="微软雅黑" w:hAnsiTheme="minorBidi"/>
                        <w:color w:val="002060"/>
                        <w:kern w:val="24"/>
                        <w:sz w:val="22"/>
                        <w:szCs w:val="22"/>
                      </w:rPr>
                      <w:t>国家税务总局青岛市税务局</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1310"/>
        <w:tab w:val="clear" w:pos="4153"/>
      </w:tabs>
      <w:rPr>
        <w:rFonts w:hint="eastAsia" w:eastAsia="仿宋"/>
        <w:lang w:eastAsia="zh-CN"/>
      </w:rPr>
    </w:pPr>
    <w:r>
      <w:drawing>
        <wp:inline distT="0" distB="0" distL="114300" distR="114300">
          <wp:extent cx="257175" cy="320040"/>
          <wp:effectExtent l="0" t="0" r="1905" b="0"/>
          <wp:docPr id="2"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true"/>
                  </pic:cNvPicPr>
                </pic:nvPicPr>
                <pic:blipFill>
                  <a:blip r:embed="rId1" cstate="print">
                    <a:extLst>
                      <a:ext uri="{28A0092B-C50C-407E-A947-70E740481C1C}">
                        <a14:useLocalDpi xmlns:a14="http://schemas.microsoft.com/office/drawing/2010/main" val="false"/>
                      </a:ext>
                    </a:extLst>
                  </a:blip>
                  <a:stretch>
                    <a:fillRect/>
                  </a:stretch>
                </pic:blipFill>
                <pic:spPr>
                  <a:xfrm>
                    <a:off x="0" y="0"/>
                    <a:ext cx="257175" cy="320040"/>
                  </a:xfrm>
                  <a:prstGeom prst="rect">
                    <a:avLst/>
                  </a:prstGeom>
                </pic:spPr>
              </pic:pic>
            </a:graphicData>
          </a:graphic>
        </wp:inline>
      </w:drawing>
    </w:r>
    <w:r>
      <w:rPr>
        <w:rFonts w:hint="eastAsia"/>
        <w:lang w:val="en-US" w:eastAsia="zh-CN"/>
      </w:rPr>
      <w:t xml:space="preserve">  </w:t>
    </w:r>
    <w:r>
      <w:rPr>
        <w:rFonts w:hint="eastAsia" w:ascii="黑体" w:hAnsi="黑体" w:eastAsia="黑体" w:cs="黑体"/>
        <w:b w:val="0"/>
        <w:bCs w:val="0"/>
        <w:color w:val="1F4E79" w:themeColor="accent1" w:themeShade="80"/>
        <w:sz w:val="22"/>
        <w:szCs w:val="44"/>
        <w:lang w:val="en-US" w:eastAsia="zh-CN"/>
      </w:rPr>
      <w:t xml:space="preserve">2023年8月最新发布的税费优惠政策文件汇编 </w:t>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ascii="黑体" w:hAnsi="黑体" w:eastAsia="仿宋" w:cs="黑体"/>
        <w:color w:val="1F4E79" w:themeColor="accent1" w:themeShade="80"/>
        <w:sz w:val="20"/>
        <w:szCs w:val="36"/>
        <w:lang w:val="en-US" w:eastAsia="zh-CN"/>
      </w:rPr>
    </w:pPr>
    <w:r>
      <w:drawing>
        <wp:inline distT="0" distB="0" distL="114300" distR="114300">
          <wp:extent cx="257175" cy="320040"/>
          <wp:effectExtent l="0" t="0" r="1905" b="0"/>
          <wp:docPr id="128"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8" name="图片 11"/>
                  <pic:cNvPicPr>
                    <a:picLocks noChangeAspect="true"/>
                  </pic:cNvPicPr>
                </pic:nvPicPr>
                <pic:blipFill>
                  <a:blip r:embed="rId1" cstate="print">
                    <a:extLst>
                      <a:ext uri="{28A0092B-C50C-407E-A947-70E740481C1C}">
                        <a14:useLocalDpi xmlns:a14="http://schemas.microsoft.com/office/drawing/2010/main" val="false"/>
                      </a:ext>
                    </a:extLst>
                  </a:blip>
                  <a:stretch>
                    <a:fillRect/>
                  </a:stretch>
                </pic:blipFill>
                <pic:spPr>
                  <a:xfrm>
                    <a:off x="0" y="0"/>
                    <a:ext cx="257175" cy="320040"/>
                  </a:xfrm>
                  <a:prstGeom prst="rect">
                    <a:avLst/>
                  </a:prstGeom>
                </pic:spPr>
              </pic:pic>
            </a:graphicData>
          </a:graphic>
        </wp:inline>
      </w:drawing>
    </w:r>
    <w:r>
      <w:rPr>
        <w:rFonts w:hint="eastAsia"/>
        <w:lang w:val="en-US" w:eastAsia="zh-CN"/>
      </w:rPr>
      <w:t xml:space="preserve">  </w:t>
    </w:r>
    <w:r>
      <w:rPr>
        <w:rFonts w:hint="eastAsia" w:ascii="黑体" w:hAnsi="黑体" w:eastAsia="黑体" w:cs="黑体"/>
        <w:b w:val="0"/>
        <w:bCs w:val="0"/>
        <w:color w:val="1F4E79" w:themeColor="accent1" w:themeShade="80"/>
        <w:sz w:val="22"/>
        <w:szCs w:val="44"/>
        <w:lang w:val="en-US" w:eastAsia="zh-CN"/>
      </w:rPr>
      <w:t xml:space="preserve">2023年8月最新发布的税费优惠政策文件汇编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displayBackgroundShape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84F0D"/>
    <w:rsid w:val="01C471C5"/>
    <w:rsid w:val="043612D5"/>
    <w:rsid w:val="05991670"/>
    <w:rsid w:val="05995A77"/>
    <w:rsid w:val="061A43A7"/>
    <w:rsid w:val="06753F4E"/>
    <w:rsid w:val="073E3995"/>
    <w:rsid w:val="085D22CD"/>
    <w:rsid w:val="08D56D3C"/>
    <w:rsid w:val="08F62FB4"/>
    <w:rsid w:val="08F640CC"/>
    <w:rsid w:val="095F7F84"/>
    <w:rsid w:val="09D204E6"/>
    <w:rsid w:val="0ADC6974"/>
    <w:rsid w:val="0B222F89"/>
    <w:rsid w:val="0E8832DD"/>
    <w:rsid w:val="0E9961DF"/>
    <w:rsid w:val="10250741"/>
    <w:rsid w:val="108D2758"/>
    <w:rsid w:val="10BB4741"/>
    <w:rsid w:val="11F40567"/>
    <w:rsid w:val="12D7487B"/>
    <w:rsid w:val="12DF6C3E"/>
    <w:rsid w:val="12FC747A"/>
    <w:rsid w:val="130D5021"/>
    <w:rsid w:val="133120DA"/>
    <w:rsid w:val="13587788"/>
    <w:rsid w:val="13AF08D7"/>
    <w:rsid w:val="13D00A70"/>
    <w:rsid w:val="16DF7656"/>
    <w:rsid w:val="18750642"/>
    <w:rsid w:val="192734C6"/>
    <w:rsid w:val="19650224"/>
    <w:rsid w:val="19741095"/>
    <w:rsid w:val="19B12441"/>
    <w:rsid w:val="19DE6346"/>
    <w:rsid w:val="1B046111"/>
    <w:rsid w:val="1E0972CD"/>
    <w:rsid w:val="1E9E195C"/>
    <w:rsid w:val="1F3365C8"/>
    <w:rsid w:val="1F372F4C"/>
    <w:rsid w:val="1F5A069C"/>
    <w:rsid w:val="1FCC4D65"/>
    <w:rsid w:val="20097298"/>
    <w:rsid w:val="205619DF"/>
    <w:rsid w:val="20714F42"/>
    <w:rsid w:val="20972D25"/>
    <w:rsid w:val="2333045B"/>
    <w:rsid w:val="23C51032"/>
    <w:rsid w:val="25393A23"/>
    <w:rsid w:val="25B84397"/>
    <w:rsid w:val="26650A79"/>
    <w:rsid w:val="29207494"/>
    <w:rsid w:val="29805E35"/>
    <w:rsid w:val="2DD32242"/>
    <w:rsid w:val="2ED4196B"/>
    <w:rsid w:val="31C6063F"/>
    <w:rsid w:val="31E8110A"/>
    <w:rsid w:val="3237329C"/>
    <w:rsid w:val="32D765EA"/>
    <w:rsid w:val="33324DD2"/>
    <w:rsid w:val="335B268F"/>
    <w:rsid w:val="34123DF2"/>
    <w:rsid w:val="361C2682"/>
    <w:rsid w:val="36291EBA"/>
    <w:rsid w:val="36EF3ED4"/>
    <w:rsid w:val="375A7682"/>
    <w:rsid w:val="37A86EE6"/>
    <w:rsid w:val="38454DB4"/>
    <w:rsid w:val="3A517ECF"/>
    <w:rsid w:val="3A6530B5"/>
    <w:rsid w:val="3BEB095A"/>
    <w:rsid w:val="3C2956F7"/>
    <w:rsid w:val="3CD1692F"/>
    <w:rsid w:val="3E30079E"/>
    <w:rsid w:val="3F632CF2"/>
    <w:rsid w:val="41746044"/>
    <w:rsid w:val="418D16D1"/>
    <w:rsid w:val="41CB4165"/>
    <w:rsid w:val="42186367"/>
    <w:rsid w:val="426A2239"/>
    <w:rsid w:val="42A253F1"/>
    <w:rsid w:val="431B18A6"/>
    <w:rsid w:val="43694E4C"/>
    <w:rsid w:val="43A92C44"/>
    <w:rsid w:val="43AD00C0"/>
    <w:rsid w:val="44894325"/>
    <w:rsid w:val="450C0E91"/>
    <w:rsid w:val="45562862"/>
    <w:rsid w:val="45E72F3D"/>
    <w:rsid w:val="46C24266"/>
    <w:rsid w:val="46EA503A"/>
    <w:rsid w:val="477D393A"/>
    <w:rsid w:val="47ED33D1"/>
    <w:rsid w:val="48653DDC"/>
    <w:rsid w:val="490F26AF"/>
    <w:rsid w:val="49265E0C"/>
    <w:rsid w:val="49C3112D"/>
    <w:rsid w:val="49E92CC6"/>
    <w:rsid w:val="4A5E7FEA"/>
    <w:rsid w:val="4B4507CD"/>
    <w:rsid w:val="4C6D416B"/>
    <w:rsid w:val="4D6201EE"/>
    <w:rsid w:val="4DCB4DEF"/>
    <w:rsid w:val="4EF027DA"/>
    <w:rsid w:val="515B28A4"/>
    <w:rsid w:val="51937CF6"/>
    <w:rsid w:val="531C5C1E"/>
    <w:rsid w:val="532B3EC0"/>
    <w:rsid w:val="559C6ECB"/>
    <w:rsid w:val="55DF1B6F"/>
    <w:rsid w:val="564B20F5"/>
    <w:rsid w:val="580A1849"/>
    <w:rsid w:val="58D42CB7"/>
    <w:rsid w:val="5B627935"/>
    <w:rsid w:val="5B652812"/>
    <w:rsid w:val="5CC03F32"/>
    <w:rsid w:val="5D4C1B77"/>
    <w:rsid w:val="5E2922FB"/>
    <w:rsid w:val="5EAF755D"/>
    <w:rsid w:val="5F610359"/>
    <w:rsid w:val="5FD73A28"/>
    <w:rsid w:val="60855643"/>
    <w:rsid w:val="610236B7"/>
    <w:rsid w:val="61ED2F38"/>
    <w:rsid w:val="62415DC9"/>
    <w:rsid w:val="62503612"/>
    <w:rsid w:val="62B445E8"/>
    <w:rsid w:val="62FA25BA"/>
    <w:rsid w:val="63420A0C"/>
    <w:rsid w:val="65FF71DD"/>
    <w:rsid w:val="66B72FA6"/>
    <w:rsid w:val="67E82FEF"/>
    <w:rsid w:val="680D0B9E"/>
    <w:rsid w:val="6A8E047E"/>
    <w:rsid w:val="6B2A0967"/>
    <w:rsid w:val="6B2C4D00"/>
    <w:rsid w:val="6BFEC450"/>
    <w:rsid w:val="6DB464E4"/>
    <w:rsid w:val="6E803A24"/>
    <w:rsid w:val="6EED5D61"/>
    <w:rsid w:val="6F7C3BBF"/>
    <w:rsid w:val="6FDE3816"/>
    <w:rsid w:val="703E1B05"/>
    <w:rsid w:val="704C2AE7"/>
    <w:rsid w:val="70BF13AF"/>
    <w:rsid w:val="70FD4843"/>
    <w:rsid w:val="711E5B82"/>
    <w:rsid w:val="71223134"/>
    <w:rsid w:val="724F0870"/>
    <w:rsid w:val="72F82A4C"/>
    <w:rsid w:val="75424AF9"/>
    <w:rsid w:val="75C45F3F"/>
    <w:rsid w:val="75CD2472"/>
    <w:rsid w:val="75E5120E"/>
    <w:rsid w:val="76991F47"/>
    <w:rsid w:val="76B65861"/>
    <w:rsid w:val="791B2A5B"/>
    <w:rsid w:val="7983447C"/>
    <w:rsid w:val="7B645844"/>
    <w:rsid w:val="7BE52B76"/>
    <w:rsid w:val="7C4F6749"/>
    <w:rsid w:val="7C634AF0"/>
    <w:rsid w:val="7D5B70FF"/>
    <w:rsid w:val="7E3B0597"/>
    <w:rsid w:val="7F624D77"/>
    <w:rsid w:val="7F73BBB0"/>
    <w:rsid w:val="7FEB107E"/>
    <w:rsid w:val="B7BD07AF"/>
    <w:rsid w:val="E6BDE1B5"/>
    <w:rsid w:val="FF5F9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仿宋" w:asciiTheme="minorHAnsi" w:hAnsiTheme="minorHAnsi"/>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15"/>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4"/>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2">
    <w:name w:val="WPSOffice手动目录 1"/>
    <w:qFormat/>
    <w:uiPriority w:val="0"/>
    <w:pPr>
      <w:ind w:leftChars="0"/>
    </w:pPr>
    <w:rPr>
      <w:rFonts w:asciiTheme="minorHAnsi" w:hAnsiTheme="minorHAnsi" w:eastAsiaTheme="minorEastAsia" w:cstheme="minorBidi"/>
      <w:sz w:val="20"/>
      <w:szCs w:val="20"/>
    </w:rPr>
  </w:style>
  <w:style w:type="paragraph" w:customStyle="1" w:styleId="13">
    <w:name w:val="WPSOffice手动目录 2"/>
    <w:qFormat/>
    <w:uiPriority w:val="0"/>
    <w:pPr>
      <w:ind w:leftChars="200"/>
    </w:pPr>
    <w:rPr>
      <w:rFonts w:asciiTheme="minorHAnsi" w:hAnsiTheme="minorHAnsi" w:eastAsiaTheme="minorEastAsia" w:cstheme="minorBidi"/>
      <w:sz w:val="20"/>
      <w:szCs w:val="20"/>
    </w:rPr>
  </w:style>
  <w:style w:type="character" w:customStyle="1" w:styleId="14">
    <w:name w:val="标题 3 Char"/>
    <w:link w:val="4"/>
    <w:qFormat/>
    <w:uiPriority w:val="0"/>
    <w:rPr>
      <w:b/>
      <w:sz w:val="32"/>
    </w:rPr>
  </w:style>
  <w:style w:type="character" w:customStyle="1" w:styleId="15">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2023-08-11T10:22:00Z</dcterms:created>
  <dc:creator>a</dc:creator>
  <cp:lastModifiedBy>sj-xtdj-zhuwenli</cp:lastModifiedBy>
  <dcterms:modified xsi:type="dcterms:W3CDTF">2024-02-27T14:53:17Z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